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55CDC" w14:textId="3A58C644" w:rsidR="004D3384" w:rsidRDefault="00A83715" w:rsidP="00072D72">
      <w:pPr>
        <w:jc w:val="center"/>
        <w:rPr>
          <w:b/>
        </w:rPr>
      </w:pPr>
      <w:r>
        <w:rPr>
          <w:b/>
        </w:rPr>
        <w:t>Applications for bank accounts in the UK by non-bank Payment Service Providers</w:t>
      </w:r>
    </w:p>
    <w:p w14:paraId="7C309B49" w14:textId="77777777" w:rsidR="00072D72" w:rsidRDefault="00072D72" w:rsidP="00072D72">
      <w:pPr>
        <w:jc w:val="center"/>
        <w:rPr>
          <w:b/>
        </w:rPr>
      </w:pPr>
    </w:p>
    <w:p w14:paraId="7ABAE85B" w14:textId="5A56DDE7" w:rsidR="00A83715" w:rsidRPr="0035299A" w:rsidRDefault="00D37FA1" w:rsidP="00072D72">
      <w:pPr>
        <w:jc w:val="center"/>
        <w:rPr>
          <w:b/>
        </w:rPr>
      </w:pPr>
      <w:r>
        <w:rPr>
          <w:b/>
        </w:rPr>
        <w:t xml:space="preserve">Process overview and </w:t>
      </w:r>
      <w:r w:rsidR="00A83715">
        <w:rPr>
          <w:b/>
        </w:rPr>
        <w:t>Guidance for Stage 1 – Pre-clearance</w:t>
      </w:r>
    </w:p>
    <w:p w14:paraId="0C15F6E2" w14:textId="518BD7D6" w:rsidR="00072D72" w:rsidRDefault="00072D72" w:rsidP="00072D72"/>
    <w:p w14:paraId="7CE407C7" w14:textId="4BA59857" w:rsidR="00D37FA1" w:rsidRPr="00D37FA1" w:rsidRDefault="00D37FA1" w:rsidP="00072D72">
      <w:pPr>
        <w:rPr>
          <w:b/>
          <w:bCs/>
        </w:rPr>
      </w:pPr>
      <w:r w:rsidRPr="00D37FA1">
        <w:rPr>
          <w:b/>
          <w:bCs/>
        </w:rPr>
        <w:t>Process overview</w:t>
      </w:r>
    </w:p>
    <w:p w14:paraId="744B5742" w14:textId="77777777" w:rsidR="00D37FA1" w:rsidRDefault="00D37FA1" w:rsidP="00072D72"/>
    <w:p w14:paraId="25B80AF6" w14:textId="6FC24D22" w:rsidR="00CE2F45" w:rsidRDefault="00A83715" w:rsidP="00072D72">
      <w:r>
        <w:t xml:space="preserve">The Association of UK </w:t>
      </w:r>
      <w:bookmarkStart w:id="0" w:name="_Hlk31612600"/>
      <w:r>
        <w:t xml:space="preserve">Payment Institutions </w:t>
      </w:r>
      <w:bookmarkEnd w:id="0"/>
      <w:r>
        <w:t xml:space="preserve">has formulated a new approach for applications for bank accounts in the UK by the three types of non-bank </w:t>
      </w:r>
      <w:bookmarkStart w:id="1" w:name="_Hlk31612688"/>
      <w:r>
        <w:t>Payment Service Provider</w:t>
      </w:r>
      <w:bookmarkEnd w:id="1"/>
      <w:r>
        <w:t>:</w:t>
      </w:r>
    </w:p>
    <w:p w14:paraId="001C9709" w14:textId="473ED005" w:rsidR="00A83715" w:rsidRDefault="00A83715" w:rsidP="00DB369E">
      <w:pPr>
        <w:pStyle w:val="ListParagraph"/>
        <w:numPr>
          <w:ilvl w:val="0"/>
          <w:numId w:val="13"/>
        </w:numPr>
      </w:pPr>
      <w:r>
        <w:t>Payment Institutions (PIs)</w:t>
      </w:r>
    </w:p>
    <w:p w14:paraId="22EA4111" w14:textId="6ECDF4C1" w:rsidR="00A83715" w:rsidRDefault="00A83715" w:rsidP="00DB369E">
      <w:pPr>
        <w:pStyle w:val="ListParagraph"/>
        <w:numPr>
          <w:ilvl w:val="0"/>
          <w:numId w:val="13"/>
        </w:numPr>
      </w:pPr>
      <w:r>
        <w:t>eMoney Institutions (eMIs)</w:t>
      </w:r>
    </w:p>
    <w:p w14:paraId="0693833A" w14:textId="6967D110" w:rsidR="00A83715" w:rsidRDefault="00A83715" w:rsidP="00DB369E">
      <w:pPr>
        <w:pStyle w:val="ListParagraph"/>
        <w:numPr>
          <w:ilvl w:val="0"/>
          <w:numId w:val="13"/>
        </w:numPr>
      </w:pPr>
      <w:r>
        <w:t>Third-Party Providers (TPPs) – meaning an Open Banking intermediary in the form of either an Account Information Service Provider (AISP) or a Payment Initiation Service Provider (PISP). A PISP will be authorised as a PI but does not make payments: it relays payment orders</w:t>
      </w:r>
    </w:p>
    <w:p w14:paraId="2327CA2A" w14:textId="77777777" w:rsidR="00072D72" w:rsidRDefault="00072D72" w:rsidP="00072D72"/>
    <w:p w14:paraId="34726FC4" w14:textId="41ACF45F" w:rsidR="00A83715" w:rsidRDefault="00A83715" w:rsidP="00072D72">
      <w:r>
        <w:t>The new approach builds on three pillars:</w:t>
      </w:r>
    </w:p>
    <w:p w14:paraId="383D03F5" w14:textId="25F8B343" w:rsidR="00A83715" w:rsidRDefault="00A83715" w:rsidP="00DB369E">
      <w:pPr>
        <w:pStyle w:val="ListParagraph"/>
        <w:numPr>
          <w:ilvl w:val="0"/>
          <w:numId w:val="14"/>
        </w:numPr>
      </w:pPr>
      <w:r>
        <w:t>The process flow commonly used in referral networks between banks, such as Connector (</w:t>
      </w:r>
      <w:hyperlink r:id="rId7" w:history="1">
        <w:r w:rsidRPr="00936E83">
          <w:rPr>
            <w:rStyle w:val="Hyperlink"/>
          </w:rPr>
          <w:t>www.connectorbanks.com</w:t>
        </w:r>
      </w:hyperlink>
      <w:r>
        <w:t>) and IBOS Association (</w:t>
      </w:r>
      <w:hyperlink r:id="rId8" w:history="1">
        <w:r w:rsidRPr="00936E83">
          <w:rPr>
            <w:rStyle w:val="Hyperlink"/>
          </w:rPr>
          <w:t>www.ibosbanks.com</w:t>
        </w:r>
      </w:hyperlink>
      <w:r>
        <w:t xml:space="preserve">); </w:t>
      </w:r>
    </w:p>
    <w:p w14:paraId="5101E7A8" w14:textId="6C165CFB" w:rsidR="00A83715" w:rsidRDefault="00A83715" w:rsidP="00DB369E">
      <w:pPr>
        <w:pStyle w:val="ListParagraph"/>
        <w:numPr>
          <w:ilvl w:val="0"/>
          <w:numId w:val="14"/>
        </w:numPr>
      </w:pPr>
      <w:r>
        <w:t>The general guidelines for this topic formulated in the work organised by UK Finance pursuant to the “Liability under Indirect Access Models” stream of the Payment Strategy Forum, and which resulted in a set of Good Practice Guidelines</w:t>
      </w:r>
      <w:r w:rsidR="00264869">
        <w:t>;</w:t>
      </w:r>
    </w:p>
    <w:p w14:paraId="30F9FC5A" w14:textId="24E7D0DE" w:rsidR="00264869" w:rsidRDefault="00264869" w:rsidP="00DB369E">
      <w:pPr>
        <w:pStyle w:val="ListParagraph"/>
        <w:numPr>
          <w:ilvl w:val="0"/>
          <w:numId w:val="14"/>
        </w:numPr>
      </w:pPr>
      <w:r>
        <w:t>The outputs of the Wolfsberg Group (</w:t>
      </w:r>
      <w:hyperlink r:id="rId9" w:history="1">
        <w:r w:rsidRPr="00936E83">
          <w:rPr>
            <w:rStyle w:val="Hyperlink"/>
          </w:rPr>
          <w:t>www.wolfsberg-principles.com</w:t>
        </w:r>
      </w:hyperlink>
      <w:r>
        <w:t xml:space="preserve">) in the form of a series of questionnaires to be completed by a financial institution when requesting or renewing banking facilities with another </w:t>
      </w:r>
      <w:r w:rsidR="008517CB">
        <w:t xml:space="preserve">financial </w:t>
      </w:r>
      <w:r>
        <w:t>institution.</w:t>
      </w:r>
    </w:p>
    <w:p w14:paraId="73C99677" w14:textId="77777777" w:rsidR="00072D72" w:rsidRDefault="00072D72" w:rsidP="00072D72"/>
    <w:p w14:paraId="4B402584" w14:textId="61CE41A9" w:rsidR="00072D72" w:rsidRDefault="008517CB" w:rsidP="00072D72">
      <w:r>
        <w:t xml:space="preserve">The new approach will operate in the context of </w:t>
      </w:r>
      <w:bookmarkStart w:id="2" w:name="_Hlk31614811"/>
      <w:r>
        <w:t xml:space="preserve">Article 105 of the 2017 Payment Services Regulations, which requires that credit institutions offer accounts to non-bank Payment Service Providers on a POND basis </w:t>
      </w:r>
      <w:bookmarkEnd w:id="2"/>
      <w:r>
        <w:t>(proportionate, objective and non-discriminatory), and that if a credit institution rejects an application for or withdraws the servicing of accounts, the credit institution must send a notification in a specified form to the Financial Conduct Authority.</w:t>
      </w:r>
    </w:p>
    <w:p w14:paraId="026DA532" w14:textId="36C38B44" w:rsidR="00A2727D" w:rsidRPr="00A2727D" w:rsidRDefault="00A2727D" w:rsidP="00A2727D">
      <w:pPr>
        <w:spacing w:before="100" w:beforeAutospacing="1" w:after="100" w:afterAutospacing="1"/>
        <w:rPr>
          <w:rFonts w:cs="Arial"/>
          <w:szCs w:val="22"/>
          <w:lang w:eastAsia="en-GB"/>
        </w:rPr>
      </w:pPr>
      <w:r>
        <w:rPr>
          <w:rFonts w:cs="Arial"/>
          <w:szCs w:val="22"/>
        </w:rPr>
        <w:t>T</w:t>
      </w:r>
      <w:r w:rsidRPr="00D12785">
        <w:rPr>
          <w:rFonts w:cs="Arial"/>
          <w:szCs w:val="22"/>
        </w:rPr>
        <w:t xml:space="preserve">he Payment Systems Regulator </w:t>
      </w:r>
      <w:r>
        <w:rPr>
          <w:rFonts w:cs="Arial"/>
          <w:szCs w:val="22"/>
        </w:rPr>
        <w:t xml:space="preserve">has recently confirmed to us </w:t>
      </w:r>
      <w:r w:rsidRPr="00D12785">
        <w:rPr>
          <w:rFonts w:cs="Arial"/>
          <w:szCs w:val="22"/>
        </w:rPr>
        <w:t xml:space="preserve">that both they and HM Treasury take the view that the safeguarding accounts </w:t>
      </w:r>
      <w:r>
        <w:rPr>
          <w:rFonts w:cs="Arial"/>
          <w:szCs w:val="22"/>
        </w:rPr>
        <w:t xml:space="preserve">do </w:t>
      </w:r>
      <w:r w:rsidRPr="00D12785">
        <w:rPr>
          <w:rFonts w:cs="Arial"/>
          <w:szCs w:val="22"/>
        </w:rPr>
        <w:t xml:space="preserve">fall within the scope of Article 105 PSRs 2017. They have directed us to paragraph 3.23 and 3.24 of their guidance, to which you can click through here: </w:t>
      </w:r>
      <w:hyperlink r:id="rId10" w:tgtFrame="_blank" w:history="1">
        <w:r w:rsidRPr="00D12785">
          <w:rPr>
            <w:rFonts w:cs="Arial"/>
            <w:color w:val="0000FF"/>
            <w:szCs w:val="22"/>
            <w:u w:val="single"/>
          </w:rPr>
          <w:t>our guidance</w:t>
        </w:r>
      </w:hyperlink>
      <w:r w:rsidRPr="00D12785">
        <w:rPr>
          <w:rFonts w:cs="Arial"/>
          <w:szCs w:val="22"/>
        </w:rPr>
        <w:t xml:space="preserve">. </w:t>
      </w:r>
    </w:p>
    <w:p w14:paraId="27D23F9D" w14:textId="0CD6B096" w:rsidR="008517CB" w:rsidRDefault="00A2727D" w:rsidP="00072D72">
      <w:r>
        <w:t>This is mentioned because there has been some doubt as to whether, for example, UK Finance’s “Good Practice Guidelines” apply to safeguarding accounts or just to payment accounts.</w:t>
      </w:r>
    </w:p>
    <w:p w14:paraId="15B9F2AA" w14:textId="77777777" w:rsidR="00A2727D" w:rsidRDefault="00A2727D" w:rsidP="00072D72"/>
    <w:p w14:paraId="5A0827E2" w14:textId="251FAA6B" w:rsidR="008517CB" w:rsidRDefault="00F06384" w:rsidP="00072D72">
      <w:r>
        <w:t xml:space="preserve">Two </w:t>
      </w:r>
      <w:r w:rsidR="00A2727D">
        <w:t>further qualifications</w:t>
      </w:r>
      <w:r>
        <w:t xml:space="preserve"> need to be noted:</w:t>
      </w:r>
    </w:p>
    <w:p w14:paraId="6D768024" w14:textId="2360D0FB" w:rsidR="00F06384" w:rsidRDefault="00F06384" w:rsidP="00DB369E">
      <w:pPr>
        <w:pStyle w:val="ListParagraph"/>
        <w:numPr>
          <w:ilvl w:val="0"/>
          <w:numId w:val="15"/>
        </w:numPr>
      </w:pPr>
      <w:r>
        <w:t>TTPs are not permitted to hold customer monies and so do not require safeguarding accounts;</w:t>
      </w:r>
    </w:p>
    <w:p w14:paraId="5B693EE6" w14:textId="4804A982" w:rsidR="00F06384" w:rsidRDefault="00F06384" w:rsidP="00DB369E">
      <w:pPr>
        <w:pStyle w:val="ListParagraph"/>
        <w:numPr>
          <w:ilvl w:val="0"/>
          <w:numId w:val="15"/>
        </w:numPr>
      </w:pPr>
      <w:r>
        <w:t xml:space="preserve">The Payment Systems Regulator (PSR) has issued its </w:t>
      </w:r>
      <w:r w:rsidR="00DE5B77">
        <w:t>Specific</w:t>
      </w:r>
      <w:r>
        <w:t xml:space="preserve"> Direction 1 (SD1) to a small group of banks that offer Indirect Access to payment systems as defined</w:t>
      </w:r>
      <w:r w:rsidR="004E1793">
        <w:t>. SD1</w:t>
      </w:r>
      <w:r>
        <w:t xml:space="preserve"> determines certain process points that these banks must follow when handling an application for Indirect Access. SD1 further determines that these same banks must follow the same process when handling an application for access to payment accounts</w:t>
      </w:r>
      <w:r w:rsidR="00FF0C5E">
        <w:t>:</w:t>
      </w:r>
    </w:p>
    <w:p w14:paraId="3D860257" w14:textId="5A9D353B" w:rsidR="00FF0C5E" w:rsidRDefault="00FF0C5E" w:rsidP="00DB369E">
      <w:pPr>
        <w:pStyle w:val="ListParagraph"/>
        <w:numPr>
          <w:ilvl w:val="1"/>
          <w:numId w:val="15"/>
        </w:numPr>
        <w:ind w:left="1276" w:hanging="196"/>
      </w:pPr>
      <w:r>
        <w:t xml:space="preserve">These rules only apply to applications for payment accounts </w:t>
      </w:r>
      <w:r w:rsidR="00A65E6B">
        <w:t>and to</w:t>
      </w:r>
      <w:r>
        <w:t xml:space="preserve"> this small group of banks;</w:t>
      </w:r>
    </w:p>
    <w:p w14:paraId="70524D40" w14:textId="33BDFCE1" w:rsidR="00FF0C5E" w:rsidRDefault="00FF0C5E" w:rsidP="00DB369E">
      <w:pPr>
        <w:pStyle w:val="ListParagraph"/>
        <w:numPr>
          <w:ilvl w:val="1"/>
          <w:numId w:val="15"/>
        </w:numPr>
        <w:ind w:left="1276" w:hanging="196"/>
      </w:pPr>
      <w:r>
        <w:t xml:space="preserve">They do not apply to applications for </w:t>
      </w:r>
      <w:bookmarkStart w:id="3" w:name="_Hlk31613674"/>
      <w:r>
        <w:t xml:space="preserve">safeguarding accounts from </w:t>
      </w:r>
      <w:bookmarkEnd w:id="3"/>
      <w:r>
        <w:t>these same banks;</w:t>
      </w:r>
    </w:p>
    <w:p w14:paraId="1A9B017B" w14:textId="6258BD82" w:rsidR="00FF0C5E" w:rsidRDefault="00FF0C5E" w:rsidP="00DB369E">
      <w:pPr>
        <w:pStyle w:val="ListParagraph"/>
        <w:numPr>
          <w:ilvl w:val="1"/>
          <w:numId w:val="15"/>
        </w:numPr>
        <w:ind w:left="1276" w:hanging="196"/>
      </w:pPr>
      <w:r>
        <w:t>They do not apply to applications for either payment accounts or safeguarding accounts from banks not counted by the PSR as Indirect Access Providers</w:t>
      </w:r>
      <w:r w:rsidR="000F6634">
        <w:t xml:space="preserve"> (IAPs)</w:t>
      </w:r>
      <w:r>
        <w:t>;</w:t>
      </w:r>
    </w:p>
    <w:p w14:paraId="7D1C4E76" w14:textId="77777777" w:rsidR="000F6634" w:rsidRDefault="000F6634" w:rsidP="00DB369E">
      <w:pPr>
        <w:pStyle w:val="ListParagraph"/>
        <w:numPr>
          <w:ilvl w:val="1"/>
          <w:numId w:val="15"/>
        </w:numPr>
        <w:ind w:left="1276" w:hanging="196"/>
      </w:pPr>
      <w:r>
        <w:t>T</w:t>
      </w:r>
      <w:r w:rsidR="00FF0C5E">
        <w:t xml:space="preserve">his new approach designed by AUKPI </w:t>
      </w:r>
      <w:r>
        <w:t>is compatible with SD1, but the approach is obligatory neither for the banks that are IAPs nor for those that are not;</w:t>
      </w:r>
    </w:p>
    <w:p w14:paraId="47E4ECB7" w14:textId="58AA38EE" w:rsidR="00FF0C5E" w:rsidRDefault="000F6634" w:rsidP="00DB369E">
      <w:pPr>
        <w:pStyle w:val="ListParagraph"/>
        <w:numPr>
          <w:ilvl w:val="1"/>
          <w:numId w:val="15"/>
        </w:numPr>
        <w:ind w:left="1276" w:hanging="196"/>
      </w:pPr>
      <w:r>
        <w:t xml:space="preserve">Nevertheless, it is hoped that all banks will find it efficient and economical. </w:t>
      </w:r>
    </w:p>
    <w:p w14:paraId="59BF25BC" w14:textId="77777777" w:rsidR="00072D72" w:rsidRDefault="00072D72" w:rsidP="00072D72"/>
    <w:p w14:paraId="43A4013C" w14:textId="38EB8682" w:rsidR="000F6634" w:rsidRDefault="000F6634" w:rsidP="00072D72">
      <w:r>
        <w:lastRenderedPageBreak/>
        <w:t>The new approach has three stages, in the same way that referral processes in Connector and</w:t>
      </w:r>
      <w:r w:rsidR="00D6661A">
        <w:t xml:space="preserve"> IBOS have three stages</w:t>
      </w:r>
      <w:r>
        <w:t>:</w:t>
      </w:r>
    </w:p>
    <w:p w14:paraId="1FFBBD54" w14:textId="769605C0" w:rsidR="000F6634" w:rsidRDefault="000F6634" w:rsidP="00072D72"/>
    <w:tbl>
      <w:tblPr>
        <w:tblStyle w:val="TableGrid"/>
        <w:tblW w:w="0" w:type="auto"/>
        <w:tblLook w:val="04A0" w:firstRow="1" w:lastRow="0" w:firstColumn="1" w:lastColumn="0" w:noHBand="0" w:noVBand="1"/>
      </w:tblPr>
      <w:tblGrid>
        <w:gridCol w:w="2407"/>
        <w:gridCol w:w="2407"/>
        <w:gridCol w:w="2407"/>
        <w:gridCol w:w="2407"/>
      </w:tblGrid>
      <w:tr w:rsidR="00D6661A" w14:paraId="13F3DE6B" w14:textId="77777777" w:rsidTr="00D6661A">
        <w:tc>
          <w:tcPr>
            <w:tcW w:w="2407" w:type="dxa"/>
          </w:tcPr>
          <w:p w14:paraId="50F2143E" w14:textId="067708D5" w:rsidR="00D6661A" w:rsidRPr="00D6661A" w:rsidRDefault="00D6661A" w:rsidP="00D6661A">
            <w:pPr>
              <w:jc w:val="center"/>
              <w:rPr>
                <w:b/>
                <w:bCs/>
              </w:rPr>
            </w:pPr>
            <w:r w:rsidRPr="00D6661A">
              <w:rPr>
                <w:b/>
                <w:bCs/>
              </w:rPr>
              <w:t>Stage</w:t>
            </w:r>
          </w:p>
        </w:tc>
        <w:tc>
          <w:tcPr>
            <w:tcW w:w="2407" w:type="dxa"/>
          </w:tcPr>
          <w:p w14:paraId="71FF7493" w14:textId="6347C205" w:rsidR="00D6661A" w:rsidRPr="00D6661A" w:rsidRDefault="00D6661A" w:rsidP="00D6661A">
            <w:pPr>
              <w:jc w:val="center"/>
              <w:rPr>
                <w:b/>
                <w:bCs/>
              </w:rPr>
            </w:pPr>
            <w:r>
              <w:rPr>
                <w:b/>
                <w:bCs/>
              </w:rPr>
              <w:t>Timing</w:t>
            </w:r>
          </w:p>
        </w:tc>
        <w:tc>
          <w:tcPr>
            <w:tcW w:w="2407" w:type="dxa"/>
          </w:tcPr>
          <w:p w14:paraId="70281460" w14:textId="241F092F" w:rsidR="00D6661A" w:rsidRPr="00D6661A" w:rsidRDefault="00D6661A" w:rsidP="00D6661A">
            <w:pPr>
              <w:jc w:val="center"/>
              <w:rPr>
                <w:b/>
                <w:bCs/>
              </w:rPr>
            </w:pPr>
            <w:r>
              <w:rPr>
                <w:b/>
                <w:bCs/>
              </w:rPr>
              <w:t>Outcome</w:t>
            </w:r>
          </w:p>
        </w:tc>
        <w:tc>
          <w:tcPr>
            <w:tcW w:w="2407" w:type="dxa"/>
          </w:tcPr>
          <w:p w14:paraId="4CA29325" w14:textId="2842F213" w:rsidR="00D6661A" w:rsidRPr="00D6661A" w:rsidRDefault="00D6661A" w:rsidP="00D6661A">
            <w:pPr>
              <w:jc w:val="center"/>
              <w:rPr>
                <w:b/>
                <w:bCs/>
              </w:rPr>
            </w:pPr>
            <w:r>
              <w:rPr>
                <w:b/>
                <w:bCs/>
              </w:rPr>
              <w:t>Documents</w:t>
            </w:r>
          </w:p>
        </w:tc>
      </w:tr>
      <w:tr w:rsidR="00D6661A" w14:paraId="71B03304" w14:textId="77777777" w:rsidTr="00D6661A">
        <w:tc>
          <w:tcPr>
            <w:tcW w:w="2407" w:type="dxa"/>
          </w:tcPr>
          <w:p w14:paraId="0DA85889" w14:textId="18F83B11" w:rsidR="00D6661A" w:rsidRDefault="00D6661A" w:rsidP="00072D72">
            <w:r>
              <w:t>Pre-clearance</w:t>
            </w:r>
          </w:p>
        </w:tc>
        <w:tc>
          <w:tcPr>
            <w:tcW w:w="2407" w:type="dxa"/>
          </w:tcPr>
          <w:p w14:paraId="0E5932F3" w14:textId="7F4D26DF" w:rsidR="00D6661A" w:rsidRDefault="00D6661A" w:rsidP="00072D72">
            <w:r>
              <w:t>10 business days</w:t>
            </w:r>
          </w:p>
        </w:tc>
        <w:tc>
          <w:tcPr>
            <w:tcW w:w="2407" w:type="dxa"/>
          </w:tcPr>
          <w:p w14:paraId="0F044A14" w14:textId="017C4059" w:rsidR="00D6661A" w:rsidRDefault="00D6661A" w:rsidP="00072D72">
            <w:r>
              <w:t>Agreement to go into Due Diligence, or rejection notification to the FCA</w:t>
            </w:r>
          </w:p>
        </w:tc>
        <w:tc>
          <w:tcPr>
            <w:tcW w:w="2407" w:type="dxa"/>
          </w:tcPr>
          <w:p w14:paraId="329AA4C7" w14:textId="37DEA96A" w:rsidR="00D6661A" w:rsidRDefault="00D6661A" w:rsidP="00072D72">
            <w:r>
              <w:t>Pre-clearance letter</w:t>
            </w:r>
          </w:p>
        </w:tc>
      </w:tr>
      <w:tr w:rsidR="00D6661A" w14:paraId="4B20E022" w14:textId="77777777" w:rsidTr="00D6661A">
        <w:tc>
          <w:tcPr>
            <w:tcW w:w="2407" w:type="dxa"/>
          </w:tcPr>
          <w:p w14:paraId="0FA220A9" w14:textId="00A4E179" w:rsidR="00D6661A" w:rsidRDefault="00D6661A" w:rsidP="00072D72">
            <w:r>
              <w:t>Due Diligence</w:t>
            </w:r>
          </w:p>
        </w:tc>
        <w:tc>
          <w:tcPr>
            <w:tcW w:w="2407" w:type="dxa"/>
          </w:tcPr>
          <w:p w14:paraId="59CB9EC7" w14:textId="04F08822" w:rsidR="00D6661A" w:rsidRDefault="00D6661A" w:rsidP="00072D72">
            <w:r>
              <w:t>6-8 weeks</w:t>
            </w:r>
          </w:p>
        </w:tc>
        <w:tc>
          <w:tcPr>
            <w:tcW w:w="2407" w:type="dxa"/>
          </w:tcPr>
          <w:p w14:paraId="739718A6" w14:textId="2833A2B7" w:rsidR="00D6661A" w:rsidRDefault="00D6661A" w:rsidP="00072D72">
            <w:r>
              <w:t>Agreement to go into Set-up, or rejection notification to the FCA</w:t>
            </w:r>
          </w:p>
        </w:tc>
        <w:tc>
          <w:tcPr>
            <w:tcW w:w="2407" w:type="dxa"/>
          </w:tcPr>
          <w:p w14:paraId="16F7087B" w14:textId="1B1FDA34" w:rsidR="00D6661A" w:rsidRDefault="00D6661A" w:rsidP="00072D72">
            <w:r>
              <w:t xml:space="preserve">Detailed description for the bank to </w:t>
            </w:r>
            <w:bookmarkStart w:id="4" w:name="_Hlk31614309"/>
            <w:r>
              <w:t xml:space="preserve">Know </w:t>
            </w:r>
            <w:r w:rsidR="001D0E10">
              <w:t>Your</w:t>
            </w:r>
            <w:r>
              <w:t xml:space="preserve"> Customer’s Business</w:t>
            </w:r>
            <w:bookmarkEnd w:id="4"/>
            <w:r>
              <w:t xml:space="preserve">, and </w:t>
            </w:r>
          </w:p>
          <w:p w14:paraId="069988C7" w14:textId="10A088C8" w:rsidR="00D6661A" w:rsidRDefault="00D6661A" w:rsidP="00072D72">
            <w:r>
              <w:t>Wolfsberg</w:t>
            </w:r>
            <w:r w:rsidR="001D0E10">
              <w:t xml:space="preserve"> Group</w:t>
            </w:r>
            <w:r>
              <w:t xml:space="preserve"> Due Diligence</w:t>
            </w:r>
            <w:r w:rsidR="001D0E10">
              <w:t xml:space="preserve"> Q</w:t>
            </w:r>
            <w:r>
              <w:t>uestionnaire</w:t>
            </w:r>
          </w:p>
        </w:tc>
      </w:tr>
      <w:tr w:rsidR="00D6661A" w14:paraId="41ACEF27" w14:textId="77777777" w:rsidTr="00D6661A">
        <w:tc>
          <w:tcPr>
            <w:tcW w:w="2407" w:type="dxa"/>
          </w:tcPr>
          <w:p w14:paraId="474347C7" w14:textId="5D8A1396" w:rsidR="00D6661A" w:rsidRDefault="00D6661A" w:rsidP="00072D72">
            <w:r>
              <w:t>Set-up</w:t>
            </w:r>
          </w:p>
        </w:tc>
        <w:tc>
          <w:tcPr>
            <w:tcW w:w="2407" w:type="dxa"/>
          </w:tcPr>
          <w:p w14:paraId="7B256572" w14:textId="44E18217" w:rsidR="00D6661A" w:rsidRDefault="00D6661A" w:rsidP="00072D72">
            <w:r>
              <w:t>Dependent upon complexity of the implementation</w:t>
            </w:r>
          </w:p>
        </w:tc>
        <w:tc>
          <w:tcPr>
            <w:tcW w:w="2407" w:type="dxa"/>
          </w:tcPr>
          <w:p w14:paraId="64B1C38B" w14:textId="686C2BAB" w:rsidR="00D6661A" w:rsidRDefault="00D6661A" w:rsidP="00072D72">
            <w:r>
              <w:t>Go-live, conversion, post-conversion support and normal running</w:t>
            </w:r>
          </w:p>
        </w:tc>
        <w:tc>
          <w:tcPr>
            <w:tcW w:w="2407" w:type="dxa"/>
          </w:tcPr>
          <w:p w14:paraId="12A79287" w14:textId="4117F946" w:rsidR="00D6661A" w:rsidRDefault="00D6661A" w:rsidP="00072D72">
            <w:r>
              <w:t>Bank’s documents for the accounts, services and facilities required, plus IT testing and implementation project as appropriate</w:t>
            </w:r>
          </w:p>
        </w:tc>
      </w:tr>
    </w:tbl>
    <w:p w14:paraId="74678A70" w14:textId="77777777" w:rsidR="00D6661A" w:rsidRDefault="00D6661A" w:rsidP="00072D72"/>
    <w:p w14:paraId="30881381" w14:textId="1E5C3DFF" w:rsidR="000F6634" w:rsidRDefault="001D0E10" w:rsidP="00072D72">
      <w:r>
        <w:t>This note contains specific guidance about Stage 1.</w:t>
      </w:r>
    </w:p>
    <w:p w14:paraId="53C31A28" w14:textId="7ECF450C" w:rsidR="003E56BE" w:rsidRDefault="003E56BE" w:rsidP="00072D72"/>
    <w:p w14:paraId="7098D95D" w14:textId="7F81BD00" w:rsidR="003E56BE" w:rsidRDefault="003E56BE" w:rsidP="003E56BE">
      <w:r>
        <w:t xml:space="preserve">There </w:t>
      </w:r>
      <w:r w:rsidR="00DB29D8">
        <w:t>are</w:t>
      </w:r>
      <w:r>
        <w:t xml:space="preserve"> accompanying paper</w:t>
      </w:r>
      <w:r w:rsidR="00DB29D8">
        <w:t>s</w:t>
      </w:r>
      <w:r>
        <w:t xml:space="preserve"> about identifying Ultimate Beneficial Owners and identifying Politically Exposed Persons, as this needs to be addressed </w:t>
      </w:r>
      <w:r w:rsidR="00DB29D8">
        <w:t>before applying to banks</w:t>
      </w:r>
      <w:r>
        <w:t>.</w:t>
      </w:r>
    </w:p>
    <w:p w14:paraId="7DEE9369" w14:textId="449A21B3" w:rsidR="001D0E10" w:rsidRDefault="001D0E10" w:rsidP="00072D72"/>
    <w:p w14:paraId="680BA1EC" w14:textId="064DEDCC" w:rsidR="001D0E10" w:rsidRDefault="001D0E10" w:rsidP="00072D72">
      <w:r>
        <w:t>Guidance on Stage 2 will come in the form of:</w:t>
      </w:r>
    </w:p>
    <w:p w14:paraId="76A863D4" w14:textId="7CCEAEA7" w:rsidR="001D0E10" w:rsidRDefault="001D0E10" w:rsidP="00DB369E">
      <w:pPr>
        <w:pStyle w:val="ListParagraph"/>
        <w:numPr>
          <w:ilvl w:val="0"/>
          <w:numId w:val="16"/>
        </w:numPr>
        <w:ind w:left="567" w:hanging="207"/>
      </w:pPr>
      <w:r>
        <w:t>A specific note on how to complete Know Your Customer’s Business, which is about your own business and which will complement the information required by the Wolfsberg Group Due Diligence Questionnaire;</w:t>
      </w:r>
    </w:p>
    <w:p w14:paraId="200F3C0C" w14:textId="3694A26D" w:rsidR="001D0E10" w:rsidRDefault="001D0E10" w:rsidP="00DB369E">
      <w:pPr>
        <w:pStyle w:val="ListParagraph"/>
        <w:numPr>
          <w:ilvl w:val="0"/>
          <w:numId w:val="16"/>
        </w:numPr>
        <w:ind w:left="567" w:hanging="207"/>
      </w:pPr>
      <w:r>
        <w:t>The set of guidance notes issued by Wolfsberg Group itself for the completion of the Due Diligence Questionnaire;</w:t>
      </w:r>
    </w:p>
    <w:p w14:paraId="0CDFF9C6" w14:textId="77777777" w:rsidR="001D0E10" w:rsidRDefault="001D0E10" w:rsidP="00072D72"/>
    <w:p w14:paraId="78BBA0E1" w14:textId="2EBEA7B8" w:rsidR="000F6634" w:rsidRDefault="001D0E10" w:rsidP="00072D72">
      <w:r>
        <w:t>Guidance on Stage 3 will come exclusively from the bank.</w:t>
      </w:r>
    </w:p>
    <w:p w14:paraId="633515A9" w14:textId="068CD53E" w:rsidR="003E56BE" w:rsidRDefault="003E56BE" w:rsidP="00072D72"/>
    <w:p w14:paraId="672C0E9B" w14:textId="1321CF51" w:rsidR="003E56BE" w:rsidRDefault="003E56BE" w:rsidP="003E56BE">
      <w:pPr>
        <w:rPr>
          <w:rFonts w:eastAsiaTheme="minorEastAsia" w:cs="Arial"/>
          <w:kern w:val="24"/>
          <w:szCs w:val="22"/>
          <w:lang w:eastAsia="en-GB"/>
        </w:rPr>
      </w:pPr>
      <w:r>
        <w:rPr>
          <w:rFonts w:eastAsiaTheme="minorEastAsia" w:cs="Arial"/>
          <w:kern w:val="24"/>
          <w:szCs w:val="22"/>
          <w:lang w:eastAsia="en-GB"/>
        </w:rPr>
        <w:t>The staging concept is akin to a tender, in which the Pre-clearance stage parallels a Request for Information stage, the Due Diligence stage parallels a Request for Proposal, and the Set-up stage parallels the contracting stage after the tender has been awarded.</w:t>
      </w:r>
    </w:p>
    <w:p w14:paraId="20392CEC" w14:textId="77777777" w:rsidR="003E56BE" w:rsidRDefault="003E56BE" w:rsidP="003E56BE">
      <w:pPr>
        <w:rPr>
          <w:rFonts w:eastAsiaTheme="minorEastAsia" w:cs="Arial"/>
          <w:kern w:val="24"/>
          <w:szCs w:val="22"/>
          <w:lang w:eastAsia="en-GB"/>
        </w:rPr>
      </w:pPr>
    </w:p>
    <w:p w14:paraId="4C7D20B1" w14:textId="5F04DF19" w:rsidR="003E56BE" w:rsidRDefault="003E56BE" w:rsidP="003E56BE">
      <w:r>
        <w:rPr>
          <w:rFonts w:eastAsiaTheme="minorEastAsia" w:cs="Arial"/>
          <w:kern w:val="24"/>
          <w:szCs w:val="22"/>
          <w:lang w:eastAsia="en-GB"/>
        </w:rPr>
        <w:t xml:space="preserve">The Pre-clearance </w:t>
      </w:r>
      <w:r w:rsidR="009F0EE0">
        <w:rPr>
          <w:rFonts w:eastAsiaTheme="minorEastAsia" w:cs="Arial"/>
          <w:kern w:val="24"/>
          <w:szCs w:val="22"/>
          <w:lang w:eastAsia="en-GB"/>
        </w:rPr>
        <w:t xml:space="preserve">letter </w:t>
      </w:r>
      <w:r>
        <w:rPr>
          <w:rFonts w:eastAsiaTheme="minorEastAsia" w:cs="Arial"/>
          <w:kern w:val="24"/>
          <w:szCs w:val="22"/>
          <w:lang w:eastAsia="en-GB"/>
        </w:rPr>
        <w:t>draws banks’ attention to one further parallel, namely that a PSP using this approach can be expected to be engaging with a number of banks in the Pre-clearance stage, and a much smaller number in the Due Diligence stage, and in parallel during each stage, in order to come to a decision about what banking partners best suit their needs.</w:t>
      </w:r>
    </w:p>
    <w:p w14:paraId="775C00A9" w14:textId="77777777" w:rsidR="003E56BE" w:rsidRDefault="003E56BE" w:rsidP="003E56BE"/>
    <w:p w14:paraId="63DD696A" w14:textId="62C649A2" w:rsidR="003E56BE" w:rsidRDefault="003E56BE" w:rsidP="00072D72">
      <w:r>
        <w:t>This statement is meant to counteract the risk that banks might perceive it as a negative indicator in itself that the databases they consult show multiple enquiries being made within a short timespan on the same PSP. This is bound to happen if the banks, as they do, follow a similar process and consult the same databases.</w:t>
      </w:r>
    </w:p>
    <w:p w14:paraId="044A9CD6" w14:textId="6DEEA016" w:rsidR="003E56BE" w:rsidRDefault="003E56BE">
      <w:pPr>
        <w:jc w:val="left"/>
        <w:rPr>
          <w:b/>
          <w:bCs/>
        </w:rPr>
      </w:pPr>
    </w:p>
    <w:p w14:paraId="336DFDD5" w14:textId="77777777" w:rsidR="003E56BE" w:rsidRDefault="003E56BE">
      <w:pPr>
        <w:jc w:val="left"/>
        <w:rPr>
          <w:b/>
          <w:bCs/>
        </w:rPr>
      </w:pPr>
      <w:r>
        <w:rPr>
          <w:b/>
          <w:bCs/>
        </w:rPr>
        <w:br w:type="page"/>
      </w:r>
    </w:p>
    <w:p w14:paraId="32A018B4" w14:textId="76804F45" w:rsidR="001D0E10" w:rsidRPr="00D37FA1" w:rsidRDefault="00D37FA1" w:rsidP="00072D72">
      <w:pPr>
        <w:rPr>
          <w:b/>
          <w:bCs/>
        </w:rPr>
      </w:pPr>
      <w:r w:rsidRPr="00D37FA1">
        <w:rPr>
          <w:b/>
          <w:bCs/>
        </w:rPr>
        <w:lastRenderedPageBreak/>
        <w:t>Guidance for Stage 1</w:t>
      </w:r>
    </w:p>
    <w:p w14:paraId="521EB722" w14:textId="6D0A4F3E" w:rsidR="001D6168" w:rsidRDefault="001D6168" w:rsidP="00FE15C8">
      <w:pPr>
        <w:spacing w:line="216" w:lineRule="auto"/>
        <w:contextualSpacing/>
        <w:jc w:val="left"/>
        <w:rPr>
          <w:rFonts w:eastAsiaTheme="minorEastAsia" w:cs="Arial"/>
          <w:kern w:val="24"/>
          <w:szCs w:val="22"/>
          <w:lang w:eastAsia="en-GB"/>
        </w:rPr>
      </w:pPr>
      <w:r>
        <w:rPr>
          <w:rFonts w:eastAsiaTheme="minorEastAsia" w:cs="Arial"/>
          <w:kern w:val="24"/>
          <w:szCs w:val="22"/>
          <w:lang w:eastAsia="en-GB"/>
        </w:rPr>
        <w:t>The primary aim of Stage 1 is to spare PSPs and banks from the time, effort and expense of going through Due Diligence on applications that have little or no chance of ultimately being successful.</w:t>
      </w:r>
    </w:p>
    <w:p w14:paraId="3F8EE90C" w14:textId="688F3E02" w:rsidR="001D6168" w:rsidRDefault="001D6168" w:rsidP="00FE15C8">
      <w:pPr>
        <w:spacing w:line="216" w:lineRule="auto"/>
        <w:contextualSpacing/>
        <w:jc w:val="left"/>
        <w:rPr>
          <w:rFonts w:eastAsiaTheme="minorEastAsia" w:cs="Arial"/>
          <w:kern w:val="24"/>
          <w:szCs w:val="22"/>
          <w:lang w:eastAsia="en-GB"/>
        </w:rPr>
      </w:pPr>
    </w:p>
    <w:p w14:paraId="5A4ACBF6" w14:textId="7BD71FA4" w:rsidR="001D6168" w:rsidRDefault="001D6168" w:rsidP="00FE15C8">
      <w:pPr>
        <w:spacing w:line="216" w:lineRule="auto"/>
        <w:contextualSpacing/>
        <w:jc w:val="left"/>
        <w:rPr>
          <w:rFonts w:eastAsiaTheme="minorEastAsia" w:cs="Arial"/>
          <w:kern w:val="24"/>
          <w:szCs w:val="22"/>
          <w:lang w:eastAsia="en-GB"/>
        </w:rPr>
      </w:pPr>
      <w:r>
        <w:rPr>
          <w:rFonts w:eastAsiaTheme="minorEastAsia" w:cs="Arial"/>
          <w:kern w:val="24"/>
          <w:szCs w:val="22"/>
          <w:lang w:eastAsia="en-GB"/>
        </w:rPr>
        <w:t>Banks should be able to make a quick judgment based on summary information, in the same way as banks in the Connector and IBOS networks are able to make a judgement on referrals of corporate customers with connections to foreign countries.</w:t>
      </w:r>
    </w:p>
    <w:p w14:paraId="06E5C63A" w14:textId="37F25073" w:rsidR="001D6168" w:rsidRDefault="001D6168" w:rsidP="00FE15C8">
      <w:pPr>
        <w:spacing w:line="216" w:lineRule="auto"/>
        <w:contextualSpacing/>
        <w:jc w:val="left"/>
        <w:rPr>
          <w:rFonts w:eastAsiaTheme="minorEastAsia" w:cs="Arial"/>
          <w:kern w:val="24"/>
          <w:szCs w:val="22"/>
          <w:lang w:eastAsia="en-GB"/>
        </w:rPr>
      </w:pPr>
    </w:p>
    <w:p w14:paraId="66051A26" w14:textId="4DFBDDFB" w:rsidR="001D6168" w:rsidRDefault="001D6168" w:rsidP="00FE15C8">
      <w:pPr>
        <w:spacing w:line="216" w:lineRule="auto"/>
        <w:contextualSpacing/>
        <w:jc w:val="left"/>
        <w:rPr>
          <w:rFonts w:eastAsiaTheme="minorEastAsia" w:cs="Arial"/>
          <w:kern w:val="24"/>
          <w:szCs w:val="22"/>
          <w:lang w:eastAsia="en-GB"/>
        </w:rPr>
      </w:pPr>
      <w:r>
        <w:rPr>
          <w:rFonts w:eastAsiaTheme="minorEastAsia" w:cs="Arial"/>
          <w:kern w:val="24"/>
          <w:szCs w:val="22"/>
          <w:lang w:eastAsia="en-GB"/>
        </w:rPr>
        <w:t>This process is known as Pre-clearance and aims to deliver to the applicant either a clear refusal (and therefore a signal to look to other providers), or an agreement to go into detailed Due Diligence.</w:t>
      </w:r>
    </w:p>
    <w:p w14:paraId="527FC365" w14:textId="0A77D209" w:rsidR="001D6168" w:rsidRDefault="001D6168" w:rsidP="00FE15C8">
      <w:pPr>
        <w:spacing w:line="216" w:lineRule="auto"/>
        <w:contextualSpacing/>
        <w:jc w:val="left"/>
        <w:rPr>
          <w:rFonts w:eastAsiaTheme="minorEastAsia" w:cs="Arial"/>
          <w:kern w:val="24"/>
          <w:szCs w:val="22"/>
          <w:lang w:eastAsia="en-GB"/>
        </w:rPr>
      </w:pPr>
    </w:p>
    <w:p w14:paraId="31C15CAA" w14:textId="2F3CB378" w:rsidR="001D6168" w:rsidRDefault="001D6168" w:rsidP="00FE15C8">
      <w:pPr>
        <w:spacing w:line="216" w:lineRule="auto"/>
        <w:contextualSpacing/>
        <w:jc w:val="left"/>
      </w:pPr>
      <w:r>
        <w:rPr>
          <w:rFonts w:eastAsiaTheme="minorEastAsia" w:cs="Arial"/>
          <w:kern w:val="24"/>
          <w:szCs w:val="22"/>
          <w:lang w:eastAsia="en-GB"/>
        </w:rPr>
        <w:t xml:space="preserve">Banks are not obliged under Article </w:t>
      </w:r>
      <w:r>
        <w:t>105 of the 2017 Payment Services Regulations to accept all applications, but they have to supply reasons for rejecting an application (and for withdrawing services from an existing customer).</w:t>
      </w:r>
      <w:r w:rsidR="00002F1A">
        <w:t xml:space="preserve"> The reasons have to be POND, which necessitates that an internal organisation and policies must have been established within the bank to examine applications and determine whether they fit within the bank’s appetite or not.</w:t>
      </w:r>
    </w:p>
    <w:p w14:paraId="6E6AA031" w14:textId="0B906905" w:rsidR="00002F1A" w:rsidRDefault="00002F1A" w:rsidP="00FE15C8">
      <w:pPr>
        <w:spacing w:line="216" w:lineRule="auto"/>
        <w:contextualSpacing/>
        <w:jc w:val="left"/>
        <w:rPr>
          <w:rFonts w:eastAsiaTheme="minorEastAsia" w:cs="Arial"/>
          <w:kern w:val="24"/>
          <w:szCs w:val="22"/>
        </w:rPr>
      </w:pPr>
    </w:p>
    <w:p w14:paraId="3E19A9FA" w14:textId="2DE7FD08" w:rsidR="00002F1A" w:rsidRDefault="00002F1A" w:rsidP="00FE15C8">
      <w:pPr>
        <w:spacing w:line="216" w:lineRule="auto"/>
        <w:contextualSpacing/>
        <w:jc w:val="left"/>
        <w:rPr>
          <w:rFonts w:eastAsiaTheme="minorEastAsia" w:cs="Arial"/>
          <w:kern w:val="24"/>
          <w:szCs w:val="22"/>
          <w:lang w:eastAsia="en-GB"/>
        </w:rPr>
      </w:pPr>
      <w:r>
        <w:rPr>
          <w:rFonts w:eastAsiaTheme="minorEastAsia" w:cs="Arial"/>
          <w:kern w:val="24"/>
          <w:szCs w:val="22"/>
        </w:rPr>
        <w:t xml:space="preserve">This appetite should have crystallised as a </w:t>
      </w:r>
      <w:bookmarkStart w:id="5" w:name="_Hlk31615331"/>
      <w:r w:rsidR="00FE15C8" w:rsidRPr="00FE15C8">
        <w:rPr>
          <w:rFonts w:eastAsiaTheme="minorEastAsia" w:cs="Arial"/>
          <w:kern w:val="24"/>
          <w:szCs w:val="22"/>
          <w:lang w:eastAsia="en-GB"/>
        </w:rPr>
        <w:t xml:space="preserve">Target Market Definition </w:t>
      </w:r>
      <w:bookmarkEnd w:id="5"/>
      <w:r w:rsidR="00FE15C8" w:rsidRPr="00FE15C8">
        <w:rPr>
          <w:rFonts w:eastAsiaTheme="minorEastAsia" w:cs="Arial"/>
          <w:kern w:val="24"/>
          <w:szCs w:val="22"/>
          <w:lang w:eastAsia="en-GB"/>
        </w:rPr>
        <w:t xml:space="preserve">and </w:t>
      </w:r>
      <w:r>
        <w:rPr>
          <w:rFonts w:eastAsiaTheme="minorEastAsia" w:cs="Arial"/>
          <w:kern w:val="24"/>
          <w:szCs w:val="22"/>
          <w:lang w:eastAsia="en-GB"/>
        </w:rPr>
        <w:t xml:space="preserve">a set of </w:t>
      </w:r>
      <w:bookmarkStart w:id="6" w:name="_Hlk31615351"/>
      <w:r w:rsidR="00FE15C8" w:rsidRPr="00FE15C8">
        <w:rPr>
          <w:rFonts w:eastAsiaTheme="minorEastAsia" w:cs="Arial"/>
          <w:kern w:val="24"/>
          <w:szCs w:val="22"/>
          <w:lang w:eastAsia="en-GB"/>
        </w:rPr>
        <w:t xml:space="preserve">Risk Acceptance Criteria </w:t>
      </w:r>
      <w:bookmarkEnd w:id="6"/>
      <w:r w:rsidR="00FE15C8" w:rsidRPr="00FE15C8">
        <w:rPr>
          <w:rFonts w:eastAsiaTheme="minorEastAsia" w:cs="Arial"/>
          <w:kern w:val="24"/>
          <w:szCs w:val="22"/>
          <w:lang w:eastAsia="en-GB"/>
        </w:rPr>
        <w:t>for the PSPs the</w:t>
      </w:r>
      <w:r>
        <w:rPr>
          <w:rFonts w:eastAsiaTheme="minorEastAsia" w:cs="Arial"/>
          <w:kern w:val="24"/>
          <w:szCs w:val="22"/>
          <w:lang w:eastAsia="en-GB"/>
        </w:rPr>
        <w:t xml:space="preserve"> bank is</w:t>
      </w:r>
      <w:r w:rsidR="00FE15C8" w:rsidRPr="00FE15C8">
        <w:rPr>
          <w:rFonts w:eastAsiaTheme="minorEastAsia" w:cs="Arial"/>
          <w:kern w:val="24"/>
          <w:szCs w:val="22"/>
          <w:lang w:eastAsia="en-GB"/>
        </w:rPr>
        <w:t xml:space="preserve"> willing to </w:t>
      </w:r>
      <w:r>
        <w:rPr>
          <w:rFonts w:eastAsiaTheme="minorEastAsia" w:cs="Arial"/>
          <w:kern w:val="24"/>
          <w:szCs w:val="22"/>
          <w:lang w:eastAsia="en-GB"/>
        </w:rPr>
        <w:t>take on.</w:t>
      </w:r>
    </w:p>
    <w:p w14:paraId="674AF72E" w14:textId="77777777" w:rsidR="003E56BE" w:rsidRDefault="003E56BE">
      <w:pPr>
        <w:jc w:val="left"/>
        <w:rPr>
          <w:rFonts w:eastAsiaTheme="minorEastAsia" w:cs="Arial"/>
          <w:kern w:val="24"/>
          <w:szCs w:val="22"/>
          <w:lang w:eastAsia="en-GB"/>
        </w:rPr>
      </w:pPr>
    </w:p>
    <w:p w14:paraId="5F3820C8" w14:textId="6C486701" w:rsidR="00FE15C8" w:rsidRPr="00FE15C8" w:rsidRDefault="00FE15C8" w:rsidP="001D6168">
      <w:pPr>
        <w:spacing w:line="216" w:lineRule="auto"/>
        <w:contextualSpacing/>
        <w:jc w:val="left"/>
        <w:rPr>
          <w:rFonts w:cs="Arial"/>
          <w:szCs w:val="22"/>
          <w:lang w:eastAsia="en-GB"/>
        </w:rPr>
      </w:pPr>
      <w:r w:rsidRPr="00FE15C8">
        <w:rPr>
          <w:rFonts w:eastAsiaTheme="minorEastAsia" w:cs="Arial"/>
          <w:kern w:val="24"/>
          <w:szCs w:val="22"/>
          <w:lang w:eastAsia="en-GB"/>
        </w:rPr>
        <w:t xml:space="preserve">This </w:t>
      </w:r>
      <w:r w:rsidR="001D6168">
        <w:rPr>
          <w:rFonts w:eastAsiaTheme="minorEastAsia" w:cs="Arial"/>
          <w:kern w:val="24"/>
          <w:szCs w:val="22"/>
          <w:lang w:eastAsia="en-GB"/>
        </w:rPr>
        <w:t xml:space="preserve">Stage 1 </w:t>
      </w:r>
      <w:bookmarkStart w:id="7" w:name="_Hlk31615394"/>
      <w:r w:rsidR="001D6168">
        <w:rPr>
          <w:rFonts w:eastAsiaTheme="minorEastAsia" w:cs="Arial"/>
          <w:kern w:val="24"/>
          <w:szCs w:val="22"/>
          <w:lang w:eastAsia="en-GB"/>
        </w:rPr>
        <w:t>Pre-clearance letter</w:t>
      </w:r>
      <w:r w:rsidRPr="00FE15C8">
        <w:rPr>
          <w:rFonts w:eastAsiaTheme="minorEastAsia" w:cs="Arial"/>
          <w:kern w:val="24"/>
          <w:szCs w:val="22"/>
          <w:lang w:eastAsia="en-GB"/>
        </w:rPr>
        <w:t xml:space="preserve"> </w:t>
      </w:r>
      <w:bookmarkEnd w:id="7"/>
      <w:r w:rsidRPr="00FE15C8">
        <w:rPr>
          <w:rFonts w:eastAsiaTheme="minorEastAsia" w:cs="Arial"/>
          <w:kern w:val="24"/>
          <w:szCs w:val="22"/>
          <w:lang w:eastAsia="en-GB"/>
        </w:rPr>
        <w:t xml:space="preserve">needs to supply enough information for </w:t>
      </w:r>
      <w:r w:rsidR="00002F1A">
        <w:rPr>
          <w:rFonts w:eastAsiaTheme="minorEastAsia" w:cs="Arial"/>
          <w:kern w:val="24"/>
          <w:szCs w:val="22"/>
          <w:lang w:eastAsia="en-GB"/>
        </w:rPr>
        <w:t xml:space="preserve">the </w:t>
      </w:r>
      <w:r w:rsidRPr="00FE15C8">
        <w:rPr>
          <w:rFonts w:eastAsiaTheme="minorEastAsia" w:cs="Arial"/>
          <w:kern w:val="24"/>
          <w:szCs w:val="22"/>
          <w:lang w:eastAsia="en-GB"/>
        </w:rPr>
        <w:t>bank to quickly determine whether the PSP fits in</w:t>
      </w:r>
      <w:r w:rsidR="00002F1A">
        <w:rPr>
          <w:rFonts w:eastAsiaTheme="minorEastAsia" w:cs="Arial"/>
          <w:kern w:val="24"/>
          <w:szCs w:val="22"/>
          <w:lang w:eastAsia="en-GB"/>
        </w:rPr>
        <w:t>side</w:t>
      </w:r>
      <w:r w:rsidRPr="00FE15C8">
        <w:rPr>
          <w:rFonts w:eastAsiaTheme="minorEastAsia" w:cs="Arial"/>
          <w:kern w:val="24"/>
          <w:szCs w:val="22"/>
          <w:lang w:eastAsia="en-GB"/>
        </w:rPr>
        <w:t xml:space="preserve"> or out</w:t>
      </w:r>
      <w:r w:rsidR="00002F1A">
        <w:rPr>
          <w:rFonts w:eastAsiaTheme="minorEastAsia" w:cs="Arial"/>
          <w:kern w:val="24"/>
          <w:szCs w:val="22"/>
          <w:lang w:eastAsia="en-GB"/>
        </w:rPr>
        <w:t xml:space="preserve">side its </w:t>
      </w:r>
      <w:r w:rsidRPr="00FE15C8">
        <w:rPr>
          <w:rFonts w:eastAsiaTheme="minorEastAsia" w:cs="Arial"/>
          <w:kern w:val="24"/>
          <w:szCs w:val="22"/>
          <w:lang w:eastAsia="en-GB"/>
        </w:rPr>
        <w:t>Target Market Definition</w:t>
      </w:r>
      <w:r w:rsidR="00002F1A">
        <w:rPr>
          <w:rFonts w:eastAsiaTheme="minorEastAsia" w:cs="Arial"/>
          <w:kern w:val="24"/>
          <w:szCs w:val="22"/>
          <w:lang w:eastAsia="en-GB"/>
        </w:rPr>
        <w:t xml:space="preserve">, and whether it complies with its </w:t>
      </w:r>
      <w:r w:rsidRPr="00FE15C8">
        <w:rPr>
          <w:rFonts w:eastAsiaTheme="minorEastAsia" w:cs="Arial"/>
          <w:kern w:val="24"/>
          <w:szCs w:val="22"/>
          <w:lang w:eastAsia="en-GB"/>
        </w:rPr>
        <w:t>Risk Acceptance Criteria</w:t>
      </w:r>
      <w:r w:rsidR="00002F1A">
        <w:rPr>
          <w:rFonts w:eastAsiaTheme="minorEastAsia" w:cs="Arial"/>
          <w:kern w:val="24"/>
          <w:szCs w:val="22"/>
          <w:lang w:eastAsia="en-GB"/>
        </w:rPr>
        <w:t xml:space="preserve"> or not.</w:t>
      </w:r>
    </w:p>
    <w:p w14:paraId="228CA09A" w14:textId="77777777" w:rsidR="001D6168" w:rsidRDefault="001D6168" w:rsidP="00FE15C8">
      <w:pPr>
        <w:spacing w:line="216" w:lineRule="auto"/>
        <w:contextualSpacing/>
        <w:jc w:val="left"/>
        <w:rPr>
          <w:rFonts w:eastAsiaTheme="minorEastAsia" w:cs="Arial"/>
          <w:kern w:val="24"/>
          <w:szCs w:val="22"/>
          <w:lang w:eastAsia="en-GB"/>
        </w:rPr>
      </w:pPr>
    </w:p>
    <w:p w14:paraId="70BAADD0" w14:textId="65CE1AC0" w:rsidR="00742EB8" w:rsidRDefault="00002F1A" w:rsidP="00072D72">
      <w:pPr>
        <w:rPr>
          <w:rFonts w:eastAsiaTheme="minorEastAsia" w:cs="Arial"/>
          <w:kern w:val="24"/>
          <w:szCs w:val="22"/>
          <w:lang w:eastAsia="en-GB"/>
        </w:rPr>
      </w:pPr>
      <w:r>
        <w:t xml:space="preserve">You will note three questions in the </w:t>
      </w:r>
      <w:r w:rsidR="004F6073">
        <w:rPr>
          <w:rFonts w:eastAsiaTheme="minorEastAsia" w:cs="Arial"/>
          <w:kern w:val="24"/>
          <w:szCs w:val="22"/>
          <w:lang w:eastAsia="en-GB"/>
        </w:rPr>
        <w:t>Pre-clearance letter that merit comment:</w:t>
      </w:r>
    </w:p>
    <w:p w14:paraId="4126A3F0" w14:textId="64DF80D0" w:rsidR="004F6073" w:rsidRDefault="004F6073" w:rsidP="00DB369E">
      <w:pPr>
        <w:pStyle w:val="ListParagraph"/>
        <w:numPr>
          <w:ilvl w:val="0"/>
          <w:numId w:val="17"/>
        </w:numPr>
        <w:ind w:left="567" w:hanging="207"/>
      </w:pPr>
      <w:r>
        <w:t>Agreement to the process itself:</w:t>
      </w:r>
      <w:r w:rsidR="00EE1A9D">
        <w:t xml:space="preserve"> it is important that there is evidence that the bank agrees to treat the application according to the process, so as to avoid common pitfalls:</w:t>
      </w:r>
    </w:p>
    <w:p w14:paraId="6D5DA11F" w14:textId="7F165D44" w:rsidR="00EE1A9D" w:rsidRDefault="002C128B" w:rsidP="00DB369E">
      <w:pPr>
        <w:pStyle w:val="ListParagraph"/>
        <w:numPr>
          <w:ilvl w:val="1"/>
          <w:numId w:val="17"/>
        </w:numPr>
        <w:ind w:left="1418" w:hanging="338"/>
      </w:pPr>
      <w:r>
        <w:t>Absence of evidence that the bank has even received the application, or that it has started to process it;</w:t>
      </w:r>
    </w:p>
    <w:p w14:paraId="1804E83A" w14:textId="153D4F6B" w:rsidR="002C128B" w:rsidRDefault="002C128B" w:rsidP="00DB369E">
      <w:pPr>
        <w:pStyle w:val="ListParagraph"/>
        <w:numPr>
          <w:ilvl w:val="1"/>
          <w:numId w:val="17"/>
        </w:numPr>
        <w:ind w:left="1418" w:hanging="338"/>
      </w:pPr>
      <w:r>
        <w:t xml:space="preserve">Lack of clear signal that </w:t>
      </w:r>
      <w:bookmarkStart w:id="8" w:name="_Hlk31615745"/>
      <w:r>
        <w:t>the Due Diligence phase has started</w:t>
      </w:r>
      <w:bookmarkEnd w:id="8"/>
      <w:r>
        <w:t>;</w:t>
      </w:r>
    </w:p>
    <w:p w14:paraId="6B20145E" w14:textId="3C874AD1" w:rsidR="002C128B" w:rsidRDefault="002C128B" w:rsidP="00DB369E">
      <w:pPr>
        <w:pStyle w:val="ListParagraph"/>
        <w:numPr>
          <w:ilvl w:val="1"/>
          <w:numId w:val="17"/>
        </w:numPr>
        <w:ind w:left="1418" w:hanging="338"/>
      </w:pPr>
      <w:r>
        <w:t>Investment of time, effort and expense by the PSP in the initial stages of an application without clarity that the Due Diligence phase has started;</w:t>
      </w:r>
    </w:p>
    <w:p w14:paraId="029FC732" w14:textId="30FB7F80" w:rsidR="004F6073" w:rsidRDefault="004F6073" w:rsidP="00DB369E">
      <w:pPr>
        <w:pStyle w:val="ListParagraph"/>
        <w:numPr>
          <w:ilvl w:val="0"/>
          <w:numId w:val="17"/>
        </w:numPr>
        <w:ind w:left="567" w:hanging="207"/>
      </w:pPr>
      <w:r>
        <w:t>Source of Funds:</w:t>
      </w:r>
      <w:r w:rsidR="002C128B">
        <w:t xml:space="preserve"> the question is aimed at exposing whether the bank’s policy on Source of Funds will be met by a statement by the PSP that the source in a particular instance is an electronic payment (by card or credit transfer) from another regulated institution that is an “obliged entity” under AML/CFT regulations:</w:t>
      </w:r>
    </w:p>
    <w:p w14:paraId="3B571217" w14:textId="200BC318" w:rsidR="002C128B" w:rsidRDefault="002C128B" w:rsidP="00DB369E">
      <w:pPr>
        <w:pStyle w:val="ListParagraph"/>
        <w:numPr>
          <w:ilvl w:val="1"/>
          <w:numId w:val="17"/>
        </w:numPr>
      </w:pPr>
      <w:r>
        <w:t>The point is that the bank cannot then ask the PSP to demonstrate the original source of funds whereby the account at that other regulated institution was in funds sufficiently for the customer to make the transfer to the PSP;</w:t>
      </w:r>
    </w:p>
    <w:p w14:paraId="7E483CD1" w14:textId="23BE187A" w:rsidR="00EE0B74" w:rsidRDefault="00EE0B74" w:rsidP="00DB369E">
      <w:pPr>
        <w:pStyle w:val="ListParagraph"/>
        <w:numPr>
          <w:ilvl w:val="1"/>
          <w:numId w:val="17"/>
        </w:numPr>
      </w:pPr>
      <w:r>
        <w:t xml:space="preserve">Banks have even asked this when the </w:t>
      </w:r>
      <w:bookmarkStart w:id="9" w:name="_Hlk31616054"/>
      <w:r>
        <w:t xml:space="preserve">regulated institution </w:t>
      </w:r>
      <w:bookmarkEnd w:id="9"/>
      <w:r>
        <w:t>in question was themselves;</w:t>
      </w:r>
    </w:p>
    <w:p w14:paraId="3F6DA809" w14:textId="77777777" w:rsidR="00EE0B74" w:rsidRDefault="004F6073" w:rsidP="00DB369E">
      <w:pPr>
        <w:pStyle w:val="ListParagraph"/>
        <w:numPr>
          <w:ilvl w:val="0"/>
          <w:numId w:val="17"/>
        </w:numPr>
        <w:ind w:left="567" w:hanging="207"/>
      </w:pPr>
      <w:r>
        <w:t xml:space="preserve">Third-party audit: </w:t>
      </w:r>
      <w:r w:rsidR="00EE0B74">
        <w:t>the principles to be established are:</w:t>
      </w:r>
    </w:p>
    <w:p w14:paraId="717BED48" w14:textId="77777777" w:rsidR="00EE0B74" w:rsidRDefault="00EE0B74" w:rsidP="00DB369E">
      <w:pPr>
        <w:pStyle w:val="ListParagraph"/>
        <w:numPr>
          <w:ilvl w:val="1"/>
          <w:numId w:val="17"/>
        </w:numPr>
      </w:pPr>
      <w:r>
        <w:t>that a PSP may decide to have their Financial Crime processes and controls audited annually by a reputable firm, and to receive a report from that firm which can be shared with regulated institutions and indeed with regulators, without those parties becoming third-party beneficiaries of the report;</w:t>
      </w:r>
    </w:p>
    <w:p w14:paraId="24231E63" w14:textId="77777777" w:rsidR="00EE0B74" w:rsidRDefault="00EE0B74" w:rsidP="00DB369E">
      <w:pPr>
        <w:pStyle w:val="ListParagraph"/>
        <w:numPr>
          <w:ilvl w:val="1"/>
          <w:numId w:val="17"/>
        </w:numPr>
      </w:pPr>
      <w:r>
        <w:t>the PSP pays for that report;</w:t>
      </w:r>
    </w:p>
    <w:p w14:paraId="09618325" w14:textId="28626174" w:rsidR="00EE0B74" w:rsidRDefault="00EE0B74" w:rsidP="00DB369E">
      <w:pPr>
        <w:pStyle w:val="ListParagraph"/>
        <w:numPr>
          <w:ilvl w:val="1"/>
          <w:numId w:val="17"/>
        </w:numPr>
      </w:pPr>
      <w:r>
        <w:t xml:space="preserve">the report covers the same set of issues that are addressed in the </w:t>
      </w:r>
      <w:bookmarkStart w:id="10" w:name="_Hlk31616406"/>
      <w:r>
        <w:t>Wolfsberg Group Questionnaires</w:t>
      </w:r>
      <w:bookmarkEnd w:id="10"/>
      <w:r>
        <w:t>;</w:t>
      </w:r>
    </w:p>
    <w:p w14:paraId="6141705C" w14:textId="730CB3D2" w:rsidR="00EE0B74" w:rsidRDefault="00EE0B74" w:rsidP="00DB369E">
      <w:pPr>
        <w:pStyle w:val="ListParagraph"/>
        <w:numPr>
          <w:ilvl w:val="1"/>
          <w:numId w:val="17"/>
        </w:numPr>
      </w:pPr>
      <w:r>
        <w:t>the report can be a Traffic Light exercise as widely used for such an exercise – Green = no issues; Amber = a comment; Red = a problem;</w:t>
      </w:r>
    </w:p>
    <w:p w14:paraId="7145BE3B" w14:textId="77777777" w:rsidR="00EE0B74" w:rsidRDefault="00EE0B74" w:rsidP="00DB369E">
      <w:pPr>
        <w:pStyle w:val="ListParagraph"/>
        <w:numPr>
          <w:ilvl w:val="1"/>
          <w:numId w:val="17"/>
        </w:numPr>
      </w:pPr>
      <w:r>
        <w:t>the substance of the report will be that the policies, processes and controls – which the PSP has attested exist in its completion of the Wolfsberg Group Questionnaires – really do exist and are operated and managed in the manner stated;</w:t>
      </w:r>
    </w:p>
    <w:p w14:paraId="2EE521C6" w14:textId="7A4D7BF1" w:rsidR="004F6073" w:rsidRDefault="00EE0B74" w:rsidP="00DB369E">
      <w:pPr>
        <w:pStyle w:val="ListParagraph"/>
        <w:numPr>
          <w:ilvl w:val="1"/>
          <w:numId w:val="17"/>
        </w:numPr>
      </w:pPr>
      <w:r>
        <w:t>the PSP thus resists paying for one third-party audit for every bank it applies to, with different scopes and costs.</w:t>
      </w:r>
    </w:p>
    <w:p w14:paraId="5FC36FCC" w14:textId="6198268F" w:rsidR="003428FF" w:rsidRDefault="003428FF">
      <w:pPr>
        <w:jc w:val="left"/>
      </w:pPr>
      <w:r>
        <w:br w:type="page"/>
      </w:r>
    </w:p>
    <w:p w14:paraId="0F67D4FF" w14:textId="77777777" w:rsidR="003428FF" w:rsidRPr="003428FF" w:rsidRDefault="003428FF" w:rsidP="006A0AC5">
      <w:pPr>
        <w:rPr>
          <w:b/>
          <w:bCs/>
        </w:rPr>
      </w:pPr>
      <w:r w:rsidRPr="003428FF">
        <w:rPr>
          <w:b/>
          <w:bCs/>
        </w:rPr>
        <w:lastRenderedPageBreak/>
        <w:t>Safeguarding</w:t>
      </w:r>
    </w:p>
    <w:p w14:paraId="7A07812A" w14:textId="78509B02" w:rsidR="003428FF" w:rsidRDefault="003428FF" w:rsidP="006A0AC5">
      <w:r>
        <w:t>PSPs must make themselves aware of the requirements around safeguarding of customer monies.</w:t>
      </w:r>
    </w:p>
    <w:p w14:paraId="47578BBF" w14:textId="0498E725" w:rsidR="003428FF" w:rsidRDefault="003428FF" w:rsidP="006A0AC5"/>
    <w:p w14:paraId="78E8383A" w14:textId="3F9D8451" w:rsidR="003428FF" w:rsidRDefault="003428FF" w:rsidP="006A0AC5">
      <w:r>
        <w:t>PSPs who do not need to safeguard (because, for example, the funds have come into and left their control within the designated time period) may find that their business needs can be met by another PI or by an eMI.</w:t>
      </w:r>
    </w:p>
    <w:p w14:paraId="18E9DE29" w14:textId="5EFC905A" w:rsidR="003428FF" w:rsidRDefault="003428FF" w:rsidP="006A0AC5"/>
    <w:p w14:paraId="1A3AB526" w14:textId="0F0A4FA6" w:rsidR="003428FF" w:rsidRDefault="003428FF" w:rsidP="006A0AC5">
      <w:r>
        <w:t>This process is meant for those PSPs who want to have their accounts with banks, or who must have accounts with banks because of safeguarding.</w:t>
      </w:r>
    </w:p>
    <w:p w14:paraId="6894BAE7" w14:textId="77777777" w:rsidR="003428FF" w:rsidRDefault="003428FF" w:rsidP="006A0AC5"/>
    <w:p w14:paraId="6E927A18" w14:textId="77777777" w:rsidR="003428FF" w:rsidRPr="003428FF" w:rsidRDefault="003428FF" w:rsidP="006A0AC5">
      <w:pPr>
        <w:rPr>
          <w:b/>
          <w:bCs/>
        </w:rPr>
      </w:pPr>
      <w:r w:rsidRPr="003428FF">
        <w:rPr>
          <w:b/>
          <w:bCs/>
        </w:rPr>
        <w:t>Sets of accounts needed</w:t>
      </w:r>
    </w:p>
    <w:p w14:paraId="4E4C2199" w14:textId="53428593" w:rsidR="00333FC8" w:rsidRPr="00333FC8" w:rsidRDefault="00333FC8" w:rsidP="00333FC8">
      <w:pPr>
        <w:spacing w:line="216" w:lineRule="auto"/>
        <w:contextualSpacing/>
        <w:jc w:val="left"/>
        <w:rPr>
          <w:rFonts w:cs="Arial"/>
          <w:color w:val="00297A"/>
          <w:szCs w:val="22"/>
          <w:lang w:eastAsia="en-GB"/>
        </w:rPr>
      </w:pPr>
      <w:r w:rsidRPr="00333FC8">
        <w:rPr>
          <w:rFonts w:eastAsiaTheme="minorEastAsia" w:cs="Arial"/>
          <w:color w:val="000000" w:themeColor="text1"/>
          <w:kern w:val="24"/>
          <w:szCs w:val="22"/>
          <w:lang w:eastAsia="en-GB"/>
        </w:rPr>
        <w:t xml:space="preserve">The </w:t>
      </w:r>
      <w:r>
        <w:rPr>
          <w:rFonts w:eastAsiaTheme="minorEastAsia" w:cs="Arial"/>
          <w:color w:val="000000" w:themeColor="text1"/>
          <w:kern w:val="24"/>
          <w:szCs w:val="22"/>
          <w:lang w:eastAsia="en-GB"/>
        </w:rPr>
        <w:t xml:space="preserve">Pre-clearance stage does not </w:t>
      </w:r>
      <w:r w:rsidR="00482EAF">
        <w:rPr>
          <w:rFonts w:eastAsiaTheme="minorEastAsia" w:cs="Arial"/>
          <w:color w:val="000000" w:themeColor="text1"/>
          <w:kern w:val="24"/>
          <w:szCs w:val="22"/>
          <w:lang w:eastAsia="en-GB"/>
        </w:rPr>
        <w:t xml:space="preserve">ask for detail about the bank’s service offering, but it </w:t>
      </w:r>
      <w:r w:rsidRPr="00333FC8">
        <w:rPr>
          <w:rFonts w:eastAsiaTheme="minorEastAsia" w:cs="Arial"/>
          <w:color w:val="000000" w:themeColor="text1"/>
          <w:kern w:val="24"/>
          <w:szCs w:val="22"/>
          <w:lang w:eastAsia="en-GB"/>
        </w:rPr>
        <w:t>should at least consist of:</w:t>
      </w:r>
    </w:p>
    <w:p w14:paraId="59B1D20F" w14:textId="77777777" w:rsidR="00333FC8" w:rsidRPr="00333FC8" w:rsidRDefault="00333FC8" w:rsidP="00DB369E">
      <w:pPr>
        <w:numPr>
          <w:ilvl w:val="1"/>
          <w:numId w:val="18"/>
        </w:numPr>
        <w:tabs>
          <w:tab w:val="clear" w:pos="1440"/>
        </w:tabs>
        <w:ind w:left="709" w:hanging="425"/>
        <w:contextualSpacing/>
        <w:jc w:val="left"/>
        <w:rPr>
          <w:rFonts w:cs="Arial"/>
          <w:color w:val="00297A"/>
          <w:szCs w:val="22"/>
          <w:lang w:eastAsia="en-GB"/>
        </w:rPr>
      </w:pPr>
      <w:r w:rsidRPr="00333FC8">
        <w:rPr>
          <w:rFonts w:eastAsiaTheme="minorEastAsia" w:cs="Arial"/>
          <w:color w:val="000000" w:themeColor="text1"/>
          <w:kern w:val="24"/>
          <w:szCs w:val="22"/>
          <w:lang w:eastAsia="en-GB"/>
        </w:rPr>
        <w:t>A set of accounts for the operations and own funds of the PI firm</w:t>
      </w:r>
    </w:p>
    <w:p w14:paraId="15D45D5F" w14:textId="7B244D20" w:rsidR="00333FC8" w:rsidRPr="00333FC8" w:rsidRDefault="00333FC8" w:rsidP="00DB369E">
      <w:pPr>
        <w:numPr>
          <w:ilvl w:val="1"/>
          <w:numId w:val="18"/>
        </w:numPr>
        <w:tabs>
          <w:tab w:val="clear" w:pos="1440"/>
        </w:tabs>
        <w:ind w:left="709" w:hanging="425"/>
        <w:contextualSpacing/>
        <w:jc w:val="left"/>
        <w:rPr>
          <w:rFonts w:cs="Arial"/>
          <w:color w:val="00297A"/>
          <w:szCs w:val="22"/>
          <w:lang w:eastAsia="en-GB"/>
        </w:rPr>
      </w:pPr>
      <w:r w:rsidRPr="00333FC8">
        <w:rPr>
          <w:rFonts w:eastAsiaTheme="minorEastAsia" w:cs="Arial"/>
          <w:color w:val="000000" w:themeColor="text1"/>
          <w:kern w:val="24"/>
          <w:szCs w:val="22"/>
          <w:lang w:eastAsia="en-GB"/>
        </w:rPr>
        <w:t>A set of accounts for the throughput of customer funds, which must be named in such a way as to be distinguished from the accounts for the operations and own funds of the PI firm</w:t>
      </w:r>
      <w:r w:rsidR="00482EAF">
        <w:rPr>
          <w:rFonts w:eastAsiaTheme="minorEastAsia" w:cs="Arial"/>
          <w:color w:val="000000" w:themeColor="text1"/>
          <w:kern w:val="24"/>
          <w:szCs w:val="22"/>
          <w:lang w:eastAsia="en-GB"/>
        </w:rPr>
        <w:t xml:space="preserve">, </w:t>
      </w:r>
      <w:r w:rsidRPr="00333FC8">
        <w:rPr>
          <w:rFonts w:eastAsiaTheme="minorEastAsia" w:cs="Arial"/>
          <w:color w:val="000000" w:themeColor="text1"/>
          <w:kern w:val="24"/>
          <w:szCs w:val="22"/>
          <w:lang w:eastAsia="en-GB"/>
        </w:rPr>
        <w:t xml:space="preserve">in the way outlined in the recent FCA consultation (see </w:t>
      </w:r>
      <w:r w:rsidR="00482EAF">
        <w:rPr>
          <w:rFonts w:eastAsiaTheme="minorEastAsia" w:cs="Arial"/>
          <w:color w:val="000000" w:themeColor="text1"/>
          <w:kern w:val="24"/>
          <w:szCs w:val="22"/>
          <w:lang w:eastAsia="en-GB"/>
        </w:rPr>
        <w:t>below</w:t>
      </w:r>
      <w:r w:rsidRPr="00333FC8">
        <w:rPr>
          <w:rFonts w:eastAsiaTheme="minorEastAsia" w:cs="Arial"/>
          <w:color w:val="000000" w:themeColor="text1"/>
          <w:kern w:val="24"/>
          <w:szCs w:val="22"/>
          <w:lang w:eastAsia="en-GB"/>
        </w:rPr>
        <w:t>)</w:t>
      </w:r>
    </w:p>
    <w:p w14:paraId="24423943" w14:textId="65C9CC08" w:rsidR="003428FF" w:rsidRDefault="003428FF" w:rsidP="006A0AC5">
      <w:pPr>
        <w:rPr>
          <w:rFonts w:cs="Arial"/>
          <w:szCs w:val="22"/>
        </w:rPr>
      </w:pPr>
    </w:p>
    <w:p w14:paraId="09A54B24" w14:textId="3CC7D942" w:rsidR="00482EAF" w:rsidRDefault="00482EAF" w:rsidP="006A0AC5">
      <w:pPr>
        <w:rPr>
          <w:rFonts w:cs="Arial"/>
          <w:szCs w:val="22"/>
        </w:rPr>
      </w:pPr>
      <w:r>
        <w:rPr>
          <w:rFonts w:cs="Arial"/>
          <w:szCs w:val="22"/>
        </w:rPr>
        <w:t>This would be sufficient for a PSP that did not require safeguarding.</w:t>
      </w:r>
    </w:p>
    <w:p w14:paraId="315769A7" w14:textId="77777777" w:rsidR="00482EAF" w:rsidRPr="00333FC8" w:rsidRDefault="00482EAF" w:rsidP="006A0AC5">
      <w:pPr>
        <w:rPr>
          <w:rFonts w:cs="Arial"/>
          <w:szCs w:val="22"/>
        </w:rPr>
      </w:pPr>
    </w:p>
    <w:p w14:paraId="56E37A05" w14:textId="195E04A5" w:rsidR="00333FC8" w:rsidRPr="00333FC8" w:rsidRDefault="00482EAF" w:rsidP="00482EAF">
      <w:pPr>
        <w:rPr>
          <w:rFonts w:cs="Arial"/>
          <w:color w:val="00297A"/>
          <w:szCs w:val="22"/>
          <w:lang w:eastAsia="en-GB"/>
        </w:rPr>
      </w:pPr>
      <w:r>
        <w:rPr>
          <w:rFonts w:cs="Arial"/>
          <w:szCs w:val="22"/>
        </w:rPr>
        <w:t xml:space="preserve">Where safeguarding is required, there need to be </w:t>
      </w:r>
      <w:r w:rsidR="00333FC8" w:rsidRPr="00333FC8">
        <w:rPr>
          <w:rFonts w:eastAsiaTheme="minorEastAsia" w:cs="Arial"/>
          <w:color w:val="000000" w:themeColor="text1"/>
          <w:kern w:val="24"/>
          <w:szCs w:val="22"/>
          <w:lang w:eastAsia="en-GB"/>
        </w:rPr>
        <w:t>three sets of accounts:</w:t>
      </w:r>
    </w:p>
    <w:p w14:paraId="6FCD0880" w14:textId="77777777" w:rsidR="00333FC8" w:rsidRPr="00333FC8" w:rsidRDefault="00333FC8" w:rsidP="00DB369E">
      <w:pPr>
        <w:numPr>
          <w:ilvl w:val="1"/>
          <w:numId w:val="19"/>
        </w:numPr>
        <w:tabs>
          <w:tab w:val="clear" w:pos="1440"/>
        </w:tabs>
        <w:ind w:left="709" w:hanging="425"/>
        <w:contextualSpacing/>
        <w:jc w:val="left"/>
        <w:rPr>
          <w:rFonts w:cs="Arial"/>
          <w:color w:val="00297A"/>
          <w:szCs w:val="22"/>
          <w:lang w:eastAsia="en-GB"/>
        </w:rPr>
      </w:pPr>
      <w:r w:rsidRPr="00333FC8">
        <w:rPr>
          <w:rFonts w:eastAsiaTheme="minorEastAsia" w:cs="Arial"/>
          <w:color w:val="000000" w:themeColor="text1"/>
          <w:kern w:val="24"/>
          <w:szCs w:val="22"/>
          <w:lang w:eastAsia="en-GB"/>
        </w:rPr>
        <w:t>As above, a set of accounts for the operations and own funds of the PI firm</w:t>
      </w:r>
    </w:p>
    <w:p w14:paraId="27CC0BEA" w14:textId="6A38881B" w:rsidR="00333FC8" w:rsidRPr="00333FC8" w:rsidRDefault="00333FC8" w:rsidP="00DB369E">
      <w:pPr>
        <w:numPr>
          <w:ilvl w:val="1"/>
          <w:numId w:val="19"/>
        </w:numPr>
        <w:tabs>
          <w:tab w:val="clear" w:pos="1440"/>
        </w:tabs>
        <w:ind w:left="709" w:hanging="425"/>
        <w:contextualSpacing/>
        <w:jc w:val="left"/>
        <w:rPr>
          <w:rFonts w:cs="Arial"/>
          <w:color w:val="00297A"/>
          <w:szCs w:val="22"/>
          <w:lang w:eastAsia="en-GB"/>
        </w:rPr>
      </w:pPr>
      <w:r w:rsidRPr="00333FC8">
        <w:rPr>
          <w:rFonts w:eastAsiaTheme="minorEastAsia" w:cs="Arial"/>
          <w:color w:val="000000" w:themeColor="text1"/>
          <w:kern w:val="24"/>
          <w:szCs w:val="22"/>
          <w:lang w:eastAsia="en-GB"/>
        </w:rPr>
        <w:t xml:space="preserve">As above, a set of accounts for the throughput of customer funds, which must be named in such a way as to be distinguished from the accounts for the operations and own funds of the PI firm, in the way outlined in the recent FCA consultation (see </w:t>
      </w:r>
      <w:r w:rsidR="00482EAF">
        <w:rPr>
          <w:rFonts w:eastAsiaTheme="minorEastAsia" w:cs="Arial"/>
          <w:color w:val="000000" w:themeColor="text1"/>
          <w:kern w:val="24"/>
          <w:szCs w:val="22"/>
          <w:lang w:eastAsia="en-GB"/>
        </w:rPr>
        <w:t>below</w:t>
      </w:r>
      <w:r w:rsidRPr="00333FC8">
        <w:rPr>
          <w:rFonts w:eastAsiaTheme="minorEastAsia" w:cs="Arial"/>
          <w:color w:val="000000" w:themeColor="text1"/>
          <w:kern w:val="24"/>
          <w:szCs w:val="22"/>
          <w:lang w:eastAsia="en-GB"/>
        </w:rPr>
        <w:t>)</w:t>
      </w:r>
    </w:p>
    <w:p w14:paraId="59F1DBC2" w14:textId="55B7A14A" w:rsidR="00333FC8" w:rsidRPr="00482EAF" w:rsidRDefault="00333FC8" w:rsidP="00DB369E">
      <w:pPr>
        <w:numPr>
          <w:ilvl w:val="1"/>
          <w:numId w:val="19"/>
        </w:numPr>
        <w:tabs>
          <w:tab w:val="clear" w:pos="1440"/>
        </w:tabs>
        <w:ind w:left="709" w:hanging="425"/>
        <w:contextualSpacing/>
        <w:jc w:val="left"/>
        <w:rPr>
          <w:rFonts w:cs="Arial"/>
          <w:color w:val="00297A"/>
          <w:szCs w:val="22"/>
          <w:lang w:eastAsia="en-GB"/>
        </w:rPr>
      </w:pPr>
      <w:r w:rsidRPr="00333FC8">
        <w:rPr>
          <w:rFonts w:eastAsiaTheme="minorEastAsia" w:cs="Arial"/>
          <w:color w:val="000000" w:themeColor="text1"/>
          <w:kern w:val="24"/>
          <w:szCs w:val="22"/>
          <w:lang w:eastAsia="en-GB"/>
        </w:rPr>
        <w:t xml:space="preserve">In addition, a set of safeguarding accounts, for which the bank can counter-sign the acknowledgement letter required by the recent FCA consultation (see </w:t>
      </w:r>
      <w:r w:rsidR="00482EAF">
        <w:rPr>
          <w:rFonts w:eastAsiaTheme="minorEastAsia" w:cs="Arial"/>
          <w:color w:val="000000" w:themeColor="text1"/>
          <w:kern w:val="24"/>
          <w:szCs w:val="22"/>
          <w:lang w:eastAsia="en-GB"/>
        </w:rPr>
        <w:t>below</w:t>
      </w:r>
      <w:r w:rsidRPr="00333FC8">
        <w:rPr>
          <w:rFonts w:eastAsiaTheme="minorEastAsia" w:cs="Arial"/>
          <w:color w:val="000000" w:themeColor="text1"/>
          <w:kern w:val="24"/>
          <w:szCs w:val="22"/>
          <w:lang w:eastAsia="en-GB"/>
        </w:rPr>
        <w:t>)</w:t>
      </w:r>
    </w:p>
    <w:p w14:paraId="00B37C30" w14:textId="1C40C2FB" w:rsidR="00333FC8" w:rsidRDefault="00333FC8" w:rsidP="00482EAF">
      <w:pPr>
        <w:contextualSpacing/>
        <w:jc w:val="left"/>
        <w:rPr>
          <w:rFonts w:eastAsiaTheme="minorEastAsia" w:cs="Arial"/>
          <w:color w:val="000000" w:themeColor="text1"/>
          <w:kern w:val="24"/>
          <w:szCs w:val="22"/>
          <w:lang w:eastAsia="en-GB"/>
        </w:rPr>
      </w:pPr>
    </w:p>
    <w:p w14:paraId="7B84C868" w14:textId="6A4C8FC7" w:rsidR="00333FC8" w:rsidRPr="00333FC8" w:rsidRDefault="00482EAF" w:rsidP="00482EAF">
      <w:pPr>
        <w:contextualSpacing/>
        <w:jc w:val="left"/>
        <w:rPr>
          <w:rFonts w:cs="Arial"/>
          <w:b/>
          <w:bCs/>
          <w:color w:val="00297A"/>
          <w:szCs w:val="22"/>
          <w:lang w:eastAsia="en-GB"/>
        </w:rPr>
      </w:pPr>
      <w:r w:rsidRPr="00482EAF">
        <w:rPr>
          <w:rFonts w:eastAsiaTheme="minorEastAsia" w:cs="Arial"/>
          <w:b/>
          <w:bCs/>
          <w:color w:val="000000" w:themeColor="text1"/>
          <w:kern w:val="24"/>
          <w:szCs w:val="22"/>
          <w:lang w:eastAsia="en-GB"/>
        </w:rPr>
        <w:t>Naming of accounts and confirmation of safeguarding account status</w:t>
      </w:r>
    </w:p>
    <w:p w14:paraId="452B10B5" w14:textId="77777777" w:rsidR="00333FC8" w:rsidRPr="00333FC8" w:rsidRDefault="00333FC8" w:rsidP="00482EAF">
      <w:r w:rsidRPr="00333FC8">
        <w:t>The set of accounts for the throughput of customer funds need to be named in line with the contents of the FCA’s proposed new guidance as per their consultation “Coronavirus and safeguarding customers’ funds: proposed guidance for payment firms”:</w:t>
      </w:r>
    </w:p>
    <w:p w14:paraId="202CD8A8" w14:textId="77777777" w:rsidR="00333FC8" w:rsidRPr="00333FC8" w:rsidRDefault="00333FC8" w:rsidP="00DB369E">
      <w:pPr>
        <w:numPr>
          <w:ilvl w:val="0"/>
          <w:numId w:val="19"/>
        </w:numPr>
      </w:pPr>
      <w:hyperlink r:id="rId11" w:history="1">
        <w:r w:rsidRPr="00333FC8">
          <w:rPr>
            <w:rStyle w:val="Hyperlink"/>
          </w:rPr>
          <w:t>https://www.fca.org.uk/publications/guidance-consultations/coronavirus-safeguarding-customers-funds-proposed-guidance-payment-firms</w:t>
        </w:r>
      </w:hyperlink>
    </w:p>
    <w:p w14:paraId="38ACA621" w14:textId="77777777" w:rsidR="00482EAF" w:rsidRDefault="00482EAF" w:rsidP="00482EAF"/>
    <w:p w14:paraId="738063E5" w14:textId="4CF045A5" w:rsidR="00333FC8" w:rsidRPr="00333FC8" w:rsidRDefault="00333FC8" w:rsidP="00482EAF">
      <w:r w:rsidRPr="00333FC8">
        <w:t>An acknowledgement needs to be forthcoming from the bank accepting the set of safeguarding accounts as per Annex 1 of the FCA’s consultation:</w:t>
      </w:r>
    </w:p>
    <w:p w14:paraId="1F85313E" w14:textId="77777777" w:rsidR="00333FC8" w:rsidRPr="00333FC8" w:rsidRDefault="00333FC8" w:rsidP="00DB369E">
      <w:pPr>
        <w:numPr>
          <w:ilvl w:val="0"/>
          <w:numId w:val="19"/>
        </w:numPr>
      </w:pPr>
      <w:hyperlink r:id="rId12" w:history="1">
        <w:r w:rsidRPr="00333FC8">
          <w:rPr>
            <w:rStyle w:val="Hyperlink"/>
          </w:rPr>
          <w:t>https://www.fca.org.uk/publication/guidance-consultation/coronavirus-safeguarding-customers-funds-annex-1-safeguarding-bank-custodian-acknowledgement-letter.pdf</w:t>
        </w:r>
      </w:hyperlink>
    </w:p>
    <w:p w14:paraId="21EFD7BA" w14:textId="77777777" w:rsidR="00333FC8" w:rsidRDefault="00333FC8" w:rsidP="006A0AC5"/>
    <w:p w14:paraId="3AE5F02B" w14:textId="6907A820" w:rsidR="003428FF" w:rsidRDefault="00482EAF" w:rsidP="006A0AC5">
      <w:r>
        <w:t>BL/1.7.20</w:t>
      </w:r>
    </w:p>
    <w:p w14:paraId="250C1E42" w14:textId="1B9B9669" w:rsidR="006A0AC5" w:rsidRPr="002C029F" w:rsidRDefault="003428FF" w:rsidP="006A0AC5">
      <w:r>
        <w:t xml:space="preserve"> </w:t>
      </w:r>
    </w:p>
    <w:sectPr w:rsidR="006A0AC5" w:rsidRPr="002C029F" w:rsidSect="006A0AC5">
      <w:headerReference w:type="default" r:id="rId13"/>
      <w:footerReference w:type="default" r:id="rId14"/>
      <w:pgSz w:w="11906" w:h="16838" w:code="9"/>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560DE" w14:textId="77777777" w:rsidR="00DB369E" w:rsidRDefault="00DB369E">
      <w:r>
        <w:separator/>
      </w:r>
    </w:p>
  </w:endnote>
  <w:endnote w:type="continuationSeparator" w:id="0">
    <w:p w14:paraId="3F2D1366" w14:textId="77777777" w:rsidR="00DB369E" w:rsidRDefault="00DB369E">
      <w:r>
        <w:continuationSeparator/>
      </w:r>
    </w:p>
    <w:p w14:paraId="3F4DFD3B" w14:textId="77777777" w:rsidR="00DB369E" w:rsidRDefault="00DB369E"/>
    <w:p w14:paraId="2DF89DB9" w14:textId="77777777" w:rsidR="00DB369E" w:rsidRDefault="00DB369E">
      <w:fldSimple w:instr=" FILENAME \p ">
        <w:r>
          <w:rPr>
            <w:noProof/>
          </w:rPr>
          <w:t>T:\Casedocs\00080348\00000005\3810769.docx</w:t>
        </w:r>
      </w:fldSimple>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99A5" w14:textId="77777777" w:rsidR="006A0AC5" w:rsidRPr="006A0AC5" w:rsidRDefault="006A0AC5">
    <w:pPr>
      <w:pStyle w:val="Footer"/>
      <w:jc w:val="center"/>
    </w:pPr>
    <w:r w:rsidRPr="006A0AC5">
      <w:t xml:space="preserve">Page </w:t>
    </w:r>
    <w:r w:rsidRPr="006A0AC5">
      <w:fldChar w:fldCharType="begin"/>
    </w:r>
    <w:r w:rsidRPr="006A0AC5">
      <w:instrText xml:space="preserve"> PAGE  \* Arabic  \* MERGEFORMAT </w:instrText>
    </w:r>
    <w:r w:rsidRPr="006A0AC5">
      <w:fldChar w:fldCharType="separate"/>
    </w:r>
    <w:r w:rsidRPr="006A0AC5">
      <w:rPr>
        <w:noProof/>
      </w:rPr>
      <w:t>2</w:t>
    </w:r>
    <w:r w:rsidRPr="006A0AC5">
      <w:fldChar w:fldCharType="end"/>
    </w:r>
    <w:r w:rsidRPr="006A0AC5">
      <w:t xml:space="preserve"> of </w:t>
    </w:r>
    <w:fldSimple w:instr=" NUMPAGES  \* Arabic  \* MERGEFORMAT ">
      <w:r w:rsidRPr="006A0AC5">
        <w:rPr>
          <w:noProof/>
        </w:rPr>
        <w:t>2</w:t>
      </w:r>
    </w:fldSimple>
  </w:p>
  <w:p w14:paraId="3D56F6B2" w14:textId="487A2B0E" w:rsidR="008C126C" w:rsidRPr="0035299A" w:rsidRDefault="008C126C" w:rsidP="0035299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F558" w14:textId="77777777" w:rsidR="00DB369E" w:rsidRDefault="00DB369E">
      <w:r>
        <w:separator/>
      </w:r>
    </w:p>
  </w:footnote>
  <w:footnote w:type="continuationSeparator" w:id="0">
    <w:p w14:paraId="7C76831A" w14:textId="77777777" w:rsidR="00DB369E" w:rsidRDefault="00DB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56A9" w14:textId="771EF943" w:rsidR="006A0AC5" w:rsidRDefault="006A0AC5">
    <w:pPr>
      <w:pStyle w:val="Header"/>
    </w:pPr>
    <w:r>
      <w:t>Applications for bank accounts for non-bank PSPs – Process overview and Guidance on Stage 1</w:t>
    </w:r>
  </w:p>
  <w:p w14:paraId="4798A9B2" w14:textId="77777777" w:rsidR="006A0AC5" w:rsidRDefault="006A0AC5">
    <w:pPr>
      <w:pStyle w:val="Header"/>
    </w:pPr>
  </w:p>
  <w:p w14:paraId="513327DB" w14:textId="77777777" w:rsidR="006A0AC5" w:rsidRDefault="006A0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548"/>
    <w:multiLevelType w:val="hybridMultilevel"/>
    <w:tmpl w:val="7C6249AC"/>
    <w:lvl w:ilvl="0" w:tplc="D1508040">
      <w:start w:val="1"/>
      <w:numFmt w:val="bullet"/>
      <w:lvlText w:val="•"/>
      <w:lvlJc w:val="left"/>
      <w:pPr>
        <w:tabs>
          <w:tab w:val="num" w:pos="720"/>
        </w:tabs>
        <w:ind w:left="720" w:hanging="360"/>
      </w:pPr>
      <w:rPr>
        <w:rFonts w:ascii="Arial" w:hAnsi="Arial" w:hint="default"/>
      </w:rPr>
    </w:lvl>
    <w:lvl w:ilvl="1" w:tplc="B0A075A0">
      <w:numFmt w:val="bullet"/>
      <w:lvlText w:val="◦"/>
      <w:lvlJc w:val="left"/>
      <w:pPr>
        <w:tabs>
          <w:tab w:val="num" w:pos="1440"/>
        </w:tabs>
        <w:ind w:left="1440" w:hanging="360"/>
      </w:pPr>
      <w:rPr>
        <w:rFonts w:ascii="Calibri Light" w:hAnsi="Calibri Light" w:hint="default"/>
      </w:rPr>
    </w:lvl>
    <w:lvl w:ilvl="2" w:tplc="F1FC10D4" w:tentative="1">
      <w:start w:val="1"/>
      <w:numFmt w:val="bullet"/>
      <w:lvlText w:val="•"/>
      <w:lvlJc w:val="left"/>
      <w:pPr>
        <w:tabs>
          <w:tab w:val="num" w:pos="2160"/>
        </w:tabs>
        <w:ind w:left="2160" w:hanging="360"/>
      </w:pPr>
      <w:rPr>
        <w:rFonts w:ascii="Arial" w:hAnsi="Arial" w:hint="default"/>
      </w:rPr>
    </w:lvl>
    <w:lvl w:ilvl="3" w:tplc="0CA6A8DA" w:tentative="1">
      <w:start w:val="1"/>
      <w:numFmt w:val="bullet"/>
      <w:lvlText w:val="•"/>
      <w:lvlJc w:val="left"/>
      <w:pPr>
        <w:tabs>
          <w:tab w:val="num" w:pos="2880"/>
        </w:tabs>
        <w:ind w:left="2880" w:hanging="360"/>
      </w:pPr>
      <w:rPr>
        <w:rFonts w:ascii="Arial" w:hAnsi="Arial" w:hint="default"/>
      </w:rPr>
    </w:lvl>
    <w:lvl w:ilvl="4" w:tplc="5B8C8952" w:tentative="1">
      <w:start w:val="1"/>
      <w:numFmt w:val="bullet"/>
      <w:lvlText w:val="•"/>
      <w:lvlJc w:val="left"/>
      <w:pPr>
        <w:tabs>
          <w:tab w:val="num" w:pos="3600"/>
        </w:tabs>
        <w:ind w:left="3600" w:hanging="360"/>
      </w:pPr>
      <w:rPr>
        <w:rFonts w:ascii="Arial" w:hAnsi="Arial" w:hint="default"/>
      </w:rPr>
    </w:lvl>
    <w:lvl w:ilvl="5" w:tplc="B8808C78" w:tentative="1">
      <w:start w:val="1"/>
      <w:numFmt w:val="bullet"/>
      <w:lvlText w:val="•"/>
      <w:lvlJc w:val="left"/>
      <w:pPr>
        <w:tabs>
          <w:tab w:val="num" w:pos="4320"/>
        </w:tabs>
        <w:ind w:left="4320" w:hanging="360"/>
      </w:pPr>
      <w:rPr>
        <w:rFonts w:ascii="Arial" w:hAnsi="Arial" w:hint="default"/>
      </w:rPr>
    </w:lvl>
    <w:lvl w:ilvl="6" w:tplc="4A1A5FA6" w:tentative="1">
      <w:start w:val="1"/>
      <w:numFmt w:val="bullet"/>
      <w:lvlText w:val="•"/>
      <w:lvlJc w:val="left"/>
      <w:pPr>
        <w:tabs>
          <w:tab w:val="num" w:pos="5040"/>
        </w:tabs>
        <w:ind w:left="5040" w:hanging="360"/>
      </w:pPr>
      <w:rPr>
        <w:rFonts w:ascii="Arial" w:hAnsi="Arial" w:hint="default"/>
      </w:rPr>
    </w:lvl>
    <w:lvl w:ilvl="7" w:tplc="E6E69584" w:tentative="1">
      <w:start w:val="1"/>
      <w:numFmt w:val="bullet"/>
      <w:lvlText w:val="•"/>
      <w:lvlJc w:val="left"/>
      <w:pPr>
        <w:tabs>
          <w:tab w:val="num" w:pos="5760"/>
        </w:tabs>
        <w:ind w:left="5760" w:hanging="360"/>
      </w:pPr>
      <w:rPr>
        <w:rFonts w:ascii="Arial" w:hAnsi="Arial" w:hint="default"/>
      </w:rPr>
    </w:lvl>
    <w:lvl w:ilvl="8" w:tplc="7AA444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A03A4"/>
    <w:multiLevelType w:val="multilevel"/>
    <w:tmpl w:val="C87E311E"/>
    <w:lvl w:ilvl="0">
      <w:start w:val="1"/>
      <w:numFmt w:val="decimal"/>
      <w:pStyle w:val="Mundays1"/>
      <w:lvlText w:val="%1."/>
      <w:lvlJc w:val="left"/>
      <w:pPr>
        <w:tabs>
          <w:tab w:val="num" w:pos="851"/>
        </w:tabs>
        <w:ind w:left="851" w:hanging="851"/>
      </w:pPr>
      <w:rPr>
        <w:rFonts w:hint="default"/>
        <w:b/>
        <w:i w:val="0"/>
        <w:sz w:val="24"/>
      </w:rPr>
    </w:lvl>
    <w:lvl w:ilvl="1">
      <w:start w:val="1"/>
      <w:numFmt w:val="decimal"/>
      <w:pStyle w:val="Mundays2"/>
      <w:lvlText w:val="%1.%2"/>
      <w:lvlJc w:val="left"/>
      <w:pPr>
        <w:tabs>
          <w:tab w:val="num" w:pos="851"/>
        </w:tabs>
        <w:ind w:left="851" w:hanging="851"/>
      </w:pPr>
      <w:rPr>
        <w:rFonts w:hint="default"/>
      </w:rPr>
    </w:lvl>
    <w:lvl w:ilvl="2">
      <w:start w:val="1"/>
      <w:numFmt w:val="decimal"/>
      <w:pStyle w:val="Mundays3"/>
      <w:lvlText w:val="%1.%2.%3"/>
      <w:lvlJc w:val="left"/>
      <w:pPr>
        <w:tabs>
          <w:tab w:val="num" w:pos="1701"/>
        </w:tabs>
        <w:ind w:left="1701" w:hanging="850"/>
      </w:pPr>
      <w:rPr>
        <w:rFonts w:hint="default"/>
      </w:rPr>
    </w:lvl>
    <w:lvl w:ilvl="3">
      <w:start w:val="1"/>
      <w:numFmt w:val="decimal"/>
      <w:pStyle w:val="Mundays4"/>
      <w:lvlText w:val="%1.%2.%3.%4"/>
      <w:lvlJc w:val="left"/>
      <w:pPr>
        <w:tabs>
          <w:tab w:val="num" w:pos="3141"/>
        </w:tabs>
        <w:ind w:left="2722" w:hanging="1021"/>
      </w:pPr>
      <w:rPr>
        <w:rFonts w:hint="default"/>
      </w:rPr>
    </w:lvl>
    <w:lvl w:ilvl="4">
      <w:start w:val="1"/>
      <w:numFmt w:val="decimal"/>
      <w:pStyle w:val="Mundays5"/>
      <w:lvlText w:val="%1.%2.%3.%4.%5"/>
      <w:lvlJc w:val="left"/>
      <w:pPr>
        <w:tabs>
          <w:tab w:val="num" w:pos="4162"/>
        </w:tabs>
        <w:ind w:left="3856" w:hanging="1134"/>
      </w:pPr>
      <w:rPr>
        <w:rFonts w:hint="default"/>
      </w:rPr>
    </w:lvl>
    <w:lvl w:ilvl="5">
      <w:start w:val="1"/>
      <w:numFmt w:val="decimal"/>
      <w:lvlText w:val="%1.%2.%3.%4.%5.%6"/>
      <w:lvlJc w:val="left"/>
      <w:pPr>
        <w:tabs>
          <w:tab w:val="num" w:pos="9458"/>
        </w:tabs>
        <w:ind w:left="9458" w:hanging="2160"/>
      </w:pPr>
      <w:rPr>
        <w:rFonts w:hint="default"/>
      </w:rPr>
    </w:lvl>
    <w:lvl w:ilvl="6">
      <w:start w:val="1"/>
      <w:numFmt w:val="decimal"/>
      <w:lvlText w:val="%1.%2.%3.%4.%5.%6.%7"/>
      <w:lvlJc w:val="left"/>
      <w:pPr>
        <w:tabs>
          <w:tab w:val="num" w:pos="10178"/>
        </w:tabs>
        <w:ind w:left="10178" w:hanging="2880"/>
      </w:pPr>
      <w:rPr>
        <w:rFonts w:hint="default"/>
      </w:rPr>
    </w:lvl>
    <w:lvl w:ilvl="7">
      <w:start w:val="1"/>
      <w:numFmt w:val="decimal"/>
      <w:lvlText w:val="%1.%2.%3.%4.%5.%6.%7.%8"/>
      <w:lvlJc w:val="left"/>
      <w:pPr>
        <w:tabs>
          <w:tab w:val="num" w:pos="9098"/>
        </w:tabs>
        <w:ind w:left="8738" w:hanging="1440"/>
      </w:pPr>
      <w:rPr>
        <w:rFonts w:hint="default"/>
      </w:rPr>
    </w:lvl>
    <w:lvl w:ilvl="8">
      <w:start w:val="1"/>
      <w:numFmt w:val="decimal"/>
      <w:lvlText w:val="%1.%2.%3.%4.%5.%6.%7.%8.%9"/>
      <w:lvlJc w:val="left"/>
      <w:pPr>
        <w:tabs>
          <w:tab w:val="num" w:pos="9458"/>
        </w:tabs>
        <w:ind w:left="8738" w:hanging="1440"/>
      </w:pPr>
      <w:rPr>
        <w:rFonts w:hint="default"/>
      </w:rPr>
    </w:lvl>
  </w:abstractNum>
  <w:abstractNum w:abstractNumId="2" w15:restartNumberingAfterBreak="0">
    <w:nsid w:val="17CD43E7"/>
    <w:multiLevelType w:val="hybridMultilevel"/>
    <w:tmpl w:val="902C4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A1B3C"/>
    <w:multiLevelType w:val="multilevel"/>
    <w:tmpl w:val="49D6E99C"/>
    <w:lvl w:ilvl="0">
      <w:start w:val="1"/>
      <w:numFmt w:val="decimal"/>
      <w:pStyle w:val="SchedNo1"/>
      <w:lvlText w:val="%1."/>
      <w:lvlJc w:val="left"/>
      <w:pPr>
        <w:tabs>
          <w:tab w:val="num" w:pos="851"/>
        </w:tabs>
        <w:ind w:left="851" w:hanging="851"/>
      </w:pPr>
      <w:rPr>
        <w:rFonts w:hint="default"/>
        <w:b w:val="0"/>
        <w:i w:val="0"/>
        <w:sz w:val="24"/>
      </w:rPr>
    </w:lvl>
    <w:lvl w:ilvl="1">
      <w:start w:val="1"/>
      <w:numFmt w:val="decimal"/>
      <w:pStyle w:val="SchedNo2"/>
      <w:lvlText w:val="%1.%2"/>
      <w:lvlJc w:val="left"/>
      <w:pPr>
        <w:tabs>
          <w:tab w:val="num" w:pos="851"/>
        </w:tabs>
        <w:ind w:left="851" w:hanging="851"/>
      </w:pPr>
      <w:rPr>
        <w:rFonts w:hint="default"/>
      </w:rPr>
    </w:lvl>
    <w:lvl w:ilvl="2">
      <w:start w:val="1"/>
      <w:numFmt w:val="decimal"/>
      <w:pStyle w:val="SchedNo3"/>
      <w:lvlText w:val="%1.%2.%3"/>
      <w:lvlJc w:val="left"/>
      <w:pPr>
        <w:tabs>
          <w:tab w:val="num" w:pos="1701"/>
        </w:tabs>
        <w:ind w:left="1701" w:hanging="850"/>
      </w:pPr>
      <w:rPr>
        <w:rFonts w:hint="default"/>
      </w:rPr>
    </w:lvl>
    <w:lvl w:ilvl="3">
      <w:start w:val="1"/>
      <w:numFmt w:val="decimal"/>
      <w:pStyle w:val="SchedNo4"/>
      <w:lvlText w:val="%1.%2.%3.%4"/>
      <w:lvlJc w:val="left"/>
      <w:pPr>
        <w:tabs>
          <w:tab w:val="num" w:pos="3141"/>
        </w:tabs>
        <w:ind w:left="2722" w:hanging="1021"/>
      </w:pPr>
      <w:rPr>
        <w:rFonts w:hint="default"/>
      </w:rPr>
    </w:lvl>
    <w:lvl w:ilvl="4">
      <w:start w:val="1"/>
      <w:numFmt w:val="decimal"/>
      <w:pStyle w:val="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4" w15:restartNumberingAfterBreak="0">
    <w:nsid w:val="21B97217"/>
    <w:multiLevelType w:val="multilevel"/>
    <w:tmpl w:val="68AADEC0"/>
    <w:lvl w:ilvl="0">
      <w:start w:val="1"/>
      <w:numFmt w:val="decimal"/>
      <w:pStyle w:val="ZSchedNo1"/>
      <w:lvlText w:val="%1."/>
      <w:lvlJc w:val="left"/>
      <w:pPr>
        <w:tabs>
          <w:tab w:val="num" w:pos="851"/>
        </w:tabs>
        <w:ind w:left="851" w:hanging="851"/>
      </w:pPr>
      <w:rPr>
        <w:rFonts w:ascii="Arial" w:hAnsi="Arial" w:cs="Arial" w:hint="default"/>
        <w:b w:val="0"/>
        <w:i w:val="0"/>
        <w:sz w:val="22"/>
        <w:szCs w:val="22"/>
      </w:rPr>
    </w:lvl>
    <w:lvl w:ilvl="1">
      <w:start w:val="1"/>
      <w:numFmt w:val="decimal"/>
      <w:pStyle w:val="ZSchedNo2"/>
      <w:lvlText w:val="%1.%2"/>
      <w:lvlJc w:val="left"/>
      <w:pPr>
        <w:tabs>
          <w:tab w:val="num" w:pos="851"/>
        </w:tabs>
        <w:ind w:left="851" w:hanging="851"/>
      </w:pPr>
      <w:rPr>
        <w:rFonts w:hint="default"/>
      </w:rPr>
    </w:lvl>
    <w:lvl w:ilvl="2">
      <w:start w:val="1"/>
      <w:numFmt w:val="decimal"/>
      <w:pStyle w:val="ZSchedNo3"/>
      <w:lvlText w:val="%1.%2.%3"/>
      <w:lvlJc w:val="left"/>
      <w:pPr>
        <w:tabs>
          <w:tab w:val="num" w:pos="1701"/>
        </w:tabs>
        <w:ind w:left="1701" w:hanging="850"/>
      </w:pPr>
      <w:rPr>
        <w:rFonts w:hint="default"/>
      </w:rPr>
    </w:lvl>
    <w:lvl w:ilvl="3">
      <w:start w:val="1"/>
      <w:numFmt w:val="decimal"/>
      <w:pStyle w:val="ZSchedNo4"/>
      <w:lvlText w:val="%1.%2.%3.%4"/>
      <w:lvlJc w:val="left"/>
      <w:pPr>
        <w:tabs>
          <w:tab w:val="num" w:pos="3141"/>
        </w:tabs>
        <w:ind w:left="2722" w:hanging="1021"/>
      </w:pPr>
      <w:rPr>
        <w:rFonts w:hint="default"/>
      </w:rPr>
    </w:lvl>
    <w:lvl w:ilvl="4">
      <w:start w:val="1"/>
      <w:numFmt w:val="decimal"/>
      <w:pStyle w:val="Z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5" w15:restartNumberingAfterBreak="0">
    <w:nsid w:val="274D63BD"/>
    <w:multiLevelType w:val="hybridMultilevel"/>
    <w:tmpl w:val="247AA3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67B2A"/>
    <w:multiLevelType w:val="multilevel"/>
    <w:tmpl w:val="A4E43430"/>
    <w:lvl w:ilvl="0">
      <w:start w:val="1"/>
      <w:numFmt w:val="upperLetter"/>
      <w:pStyle w:val="ListNoAlpha"/>
      <w:lvlText w:val="%1."/>
      <w:lvlJc w:val="left"/>
      <w:pPr>
        <w:tabs>
          <w:tab w:val="num" w:pos="851"/>
        </w:tabs>
        <w:ind w:left="851" w:hanging="851"/>
      </w:pPr>
      <w:rPr>
        <w:rFonts w:hint="default"/>
      </w:rPr>
    </w:lvl>
    <w:lvl w:ilvl="1">
      <w:start w:val="1"/>
      <w:numFmt w:val="lowerRoman"/>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50A7505"/>
    <w:multiLevelType w:val="hybridMultilevel"/>
    <w:tmpl w:val="2BB877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A6E6B"/>
    <w:multiLevelType w:val="hybridMultilevel"/>
    <w:tmpl w:val="943E826C"/>
    <w:lvl w:ilvl="0" w:tplc="C8DE9A16">
      <w:start w:val="1"/>
      <w:numFmt w:val="bullet"/>
      <w:lvlText w:val="•"/>
      <w:lvlJc w:val="left"/>
      <w:pPr>
        <w:tabs>
          <w:tab w:val="num" w:pos="720"/>
        </w:tabs>
        <w:ind w:left="720" w:hanging="360"/>
      </w:pPr>
      <w:rPr>
        <w:rFonts w:ascii="Arial" w:hAnsi="Arial" w:hint="default"/>
      </w:rPr>
    </w:lvl>
    <w:lvl w:ilvl="1" w:tplc="A6E40684">
      <w:numFmt w:val="bullet"/>
      <w:lvlText w:val="◦"/>
      <w:lvlJc w:val="left"/>
      <w:pPr>
        <w:tabs>
          <w:tab w:val="num" w:pos="1440"/>
        </w:tabs>
        <w:ind w:left="1440" w:hanging="360"/>
      </w:pPr>
      <w:rPr>
        <w:rFonts w:ascii="Calibri Light" w:hAnsi="Calibri Light" w:hint="default"/>
      </w:rPr>
    </w:lvl>
    <w:lvl w:ilvl="2" w:tplc="336C0466" w:tentative="1">
      <w:start w:val="1"/>
      <w:numFmt w:val="bullet"/>
      <w:lvlText w:val="•"/>
      <w:lvlJc w:val="left"/>
      <w:pPr>
        <w:tabs>
          <w:tab w:val="num" w:pos="2160"/>
        </w:tabs>
        <w:ind w:left="2160" w:hanging="360"/>
      </w:pPr>
      <w:rPr>
        <w:rFonts w:ascii="Arial" w:hAnsi="Arial" w:hint="default"/>
      </w:rPr>
    </w:lvl>
    <w:lvl w:ilvl="3" w:tplc="F984D27C" w:tentative="1">
      <w:start w:val="1"/>
      <w:numFmt w:val="bullet"/>
      <w:lvlText w:val="•"/>
      <w:lvlJc w:val="left"/>
      <w:pPr>
        <w:tabs>
          <w:tab w:val="num" w:pos="2880"/>
        </w:tabs>
        <w:ind w:left="2880" w:hanging="360"/>
      </w:pPr>
      <w:rPr>
        <w:rFonts w:ascii="Arial" w:hAnsi="Arial" w:hint="default"/>
      </w:rPr>
    </w:lvl>
    <w:lvl w:ilvl="4" w:tplc="88AC9A02" w:tentative="1">
      <w:start w:val="1"/>
      <w:numFmt w:val="bullet"/>
      <w:lvlText w:val="•"/>
      <w:lvlJc w:val="left"/>
      <w:pPr>
        <w:tabs>
          <w:tab w:val="num" w:pos="3600"/>
        </w:tabs>
        <w:ind w:left="3600" w:hanging="360"/>
      </w:pPr>
      <w:rPr>
        <w:rFonts w:ascii="Arial" w:hAnsi="Arial" w:hint="default"/>
      </w:rPr>
    </w:lvl>
    <w:lvl w:ilvl="5" w:tplc="DDCA4C52" w:tentative="1">
      <w:start w:val="1"/>
      <w:numFmt w:val="bullet"/>
      <w:lvlText w:val="•"/>
      <w:lvlJc w:val="left"/>
      <w:pPr>
        <w:tabs>
          <w:tab w:val="num" w:pos="4320"/>
        </w:tabs>
        <w:ind w:left="4320" w:hanging="360"/>
      </w:pPr>
      <w:rPr>
        <w:rFonts w:ascii="Arial" w:hAnsi="Arial" w:hint="default"/>
      </w:rPr>
    </w:lvl>
    <w:lvl w:ilvl="6" w:tplc="5A0864A6" w:tentative="1">
      <w:start w:val="1"/>
      <w:numFmt w:val="bullet"/>
      <w:lvlText w:val="•"/>
      <w:lvlJc w:val="left"/>
      <w:pPr>
        <w:tabs>
          <w:tab w:val="num" w:pos="5040"/>
        </w:tabs>
        <w:ind w:left="5040" w:hanging="360"/>
      </w:pPr>
      <w:rPr>
        <w:rFonts w:ascii="Arial" w:hAnsi="Arial" w:hint="default"/>
      </w:rPr>
    </w:lvl>
    <w:lvl w:ilvl="7" w:tplc="AEA44A2C" w:tentative="1">
      <w:start w:val="1"/>
      <w:numFmt w:val="bullet"/>
      <w:lvlText w:val="•"/>
      <w:lvlJc w:val="left"/>
      <w:pPr>
        <w:tabs>
          <w:tab w:val="num" w:pos="5760"/>
        </w:tabs>
        <w:ind w:left="5760" w:hanging="360"/>
      </w:pPr>
      <w:rPr>
        <w:rFonts w:ascii="Arial" w:hAnsi="Arial" w:hint="default"/>
      </w:rPr>
    </w:lvl>
    <w:lvl w:ilvl="8" w:tplc="CA7808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727EDF"/>
    <w:multiLevelType w:val="multilevel"/>
    <w:tmpl w:val="74D22206"/>
    <w:lvl w:ilvl="0">
      <w:start w:val="1"/>
      <w:numFmt w:val="decimal"/>
      <w:pStyle w:val="MundaysNoHeading"/>
      <w:lvlText w:val="%1."/>
      <w:lvlJc w:val="left"/>
      <w:pPr>
        <w:tabs>
          <w:tab w:val="num" w:pos="851"/>
        </w:tabs>
        <w:ind w:left="851" w:hanging="851"/>
      </w:pPr>
      <w:rPr>
        <w:rFonts w:hint="default"/>
        <w:b w:val="0"/>
        <w:i w:val="0"/>
        <w:sz w:val="24"/>
      </w:rPr>
    </w:lvl>
    <w:lvl w:ilvl="1">
      <w:start w:val="1"/>
      <w:numFmt w:val="decimal"/>
      <w:pStyle w:val="NoHeading2"/>
      <w:lvlText w:val="%1.%2"/>
      <w:lvlJc w:val="left"/>
      <w:pPr>
        <w:tabs>
          <w:tab w:val="num" w:pos="851"/>
        </w:tabs>
        <w:ind w:left="851" w:hanging="851"/>
      </w:pPr>
      <w:rPr>
        <w:rFonts w:hint="default"/>
      </w:rPr>
    </w:lvl>
    <w:lvl w:ilvl="2">
      <w:start w:val="1"/>
      <w:numFmt w:val="decimal"/>
      <w:pStyle w:val="NoHeading3"/>
      <w:lvlText w:val="%1.%2.%3"/>
      <w:lvlJc w:val="left"/>
      <w:pPr>
        <w:tabs>
          <w:tab w:val="num" w:pos="1701"/>
        </w:tabs>
        <w:ind w:left="1701" w:hanging="850"/>
      </w:pPr>
      <w:rPr>
        <w:rFonts w:hint="default"/>
      </w:rPr>
    </w:lvl>
    <w:lvl w:ilvl="3">
      <w:start w:val="1"/>
      <w:numFmt w:val="decimal"/>
      <w:pStyle w:val="NoHeading4"/>
      <w:lvlText w:val="%1.%2.%3.%4"/>
      <w:lvlJc w:val="left"/>
      <w:pPr>
        <w:tabs>
          <w:tab w:val="num" w:pos="3141"/>
        </w:tabs>
        <w:ind w:left="2722" w:hanging="1021"/>
      </w:pPr>
      <w:rPr>
        <w:rFonts w:hint="default"/>
      </w:rPr>
    </w:lvl>
    <w:lvl w:ilvl="4">
      <w:start w:val="1"/>
      <w:numFmt w:val="decimal"/>
      <w:pStyle w:val="NoHeading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10" w15:restartNumberingAfterBreak="0">
    <w:nsid w:val="48B7694B"/>
    <w:multiLevelType w:val="multilevel"/>
    <w:tmpl w:val="38744BF0"/>
    <w:lvl w:ilvl="0">
      <w:start w:val="1"/>
      <w:numFmt w:val="decimal"/>
      <w:pStyle w:val="YSchedNo1"/>
      <w:lvlText w:val="%1."/>
      <w:lvlJc w:val="left"/>
      <w:pPr>
        <w:tabs>
          <w:tab w:val="num" w:pos="851"/>
        </w:tabs>
        <w:ind w:left="851" w:hanging="851"/>
      </w:pPr>
      <w:rPr>
        <w:rFonts w:ascii="Arial" w:hAnsi="Arial" w:cs="Arial" w:hint="default"/>
        <w:b w:val="0"/>
        <w:i w:val="0"/>
        <w:sz w:val="22"/>
        <w:szCs w:val="22"/>
      </w:rPr>
    </w:lvl>
    <w:lvl w:ilvl="1">
      <w:start w:val="1"/>
      <w:numFmt w:val="decimal"/>
      <w:pStyle w:val="YSchedNo2"/>
      <w:lvlText w:val="%1.%2"/>
      <w:lvlJc w:val="left"/>
      <w:pPr>
        <w:tabs>
          <w:tab w:val="num" w:pos="851"/>
        </w:tabs>
        <w:ind w:left="851" w:hanging="851"/>
      </w:pPr>
      <w:rPr>
        <w:rFonts w:hint="default"/>
      </w:rPr>
    </w:lvl>
    <w:lvl w:ilvl="2">
      <w:start w:val="1"/>
      <w:numFmt w:val="decimal"/>
      <w:pStyle w:val="YSchedNo3"/>
      <w:lvlText w:val="%1.%2.%3"/>
      <w:lvlJc w:val="left"/>
      <w:pPr>
        <w:tabs>
          <w:tab w:val="num" w:pos="1701"/>
        </w:tabs>
        <w:ind w:left="1701" w:hanging="850"/>
      </w:pPr>
      <w:rPr>
        <w:rFonts w:hint="default"/>
      </w:rPr>
    </w:lvl>
    <w:lvl w:ilvl="3">
      <w:start w:val="1"/>
      <w:numFmt w:val="decimal"/>
      <w:pStyle w:val="YSchedNo4"/>
      <w:lvlText w:val="%1.%2.%3.%4"/>
      <w:lvlJc w:val="left"/>
      <w:pPr>
        <w:tabs>
          <w:tab w:val="num" w:pos="3141"/>
        </w:tabs>
        <w:ind w:left="2722" w:hanging="1021"/>
      </w:pPr>
      <w:rPr>
        <w:rFonts w:hint="default"/>
      </w:rPr>
    </w:lvl>
    <w:lvl w:ilvl="4">
      <w:start w:val="1"/>
      <w:numFmt w:val="decimal"/>
      <w:pStyle w:val="Y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11" w15:restartNumberingAfterBreak="0">
    <w:nsid w:val="4C63354B"/>
    <w:multiLevelType w:val="multilevel"/>
    <w:tmpl w:val="A510044E"/>
    <w:lvl w:ilvl="0">
      <w:start w:val="1"/>
      <w:numFmt w:val="decimal"/>
      <w:pStyle w:val="XSchedNo1"/>
      <w:lvlText w:val="%1."/>
      <w:lvlJc w:val="left"/>
      <w:pPr>
        <w:tabs>
          <w:tab w:val="num" w:pos="851"/>
        </w:tabs>
        <w:ind w:left="851" w:hanging="851"/>
      </w:pPr>
      <w:rPr>
        <w:rFonts w:ascii="Arial" w:hAnsi="Arial" w:cs="Arial" w:hint="default"/>
        <w:b w:val="0"/>
        <w:i w:val="0"/>
        <w:sz w:val="22"/>
        <w:szCs w:val="22"/>
      </w:rPr>
    </w:lvl>
    <w:lvl w:ilvl="1">
      <w:start w:val="1"/>
      <w:numFmt w:val="decimal"/>
      <w:pStyle w:val="XSchedNo2"/>
      <w:lvlText w:val="%1.%2"/>
      <w:lvlJc w:val="left"/>
      <w:pPr>
        <w:tabs>
          <w:tab w:val="num" w:pos="851"/>
        </w:tabs>
        <w:ind w:left="851" w:hanging="851"/>
      </w:pPr>
      <w:rPr>
        <w:rFonts w:hint="default"/>
      </w:rPr>
    </w:lvl>
    <w:lvl w:ilvl="2">
      <w:start w:val="1"/>
      <w:numFmt w:val="decimal"/>
      <w:pStyle w:val="XSchedNo3"/>
      <w:lvlText w:val="%1.%2.%3"/>
      <w:lvlJc w:val="left"/>
      <w:pPr>
        <w:tabs>
          <w:tab w:val="num" w:pos="1701"/>
        </w:tabs>
        <w:ind w:left="1701" w:hanging="850"/>
      </w:pPr>
      <w:rPr>
        <w:rFonts w:hint="default"/>
      </w:rPr>
    </w:lvl>
    <w:lvl w:ilvl="3">
      <w:start w:val="1"/>
      <w:numFmt w:val="decimal"/>
      <w:pStyle w:val="XSchedNo4"/>
      <w:lvlText w:val="%1.%2.%3.%4"/>
      <w:lvlJc w:val="left"/>
      <w:pPr>
        <w:tabs>
          <w:tab w:val="num" w:pos="3141"/>
        </w:tabs>
        <w:ind w:left="2722" w:hanging="1021"/>
      </w:pPr>
      <w:rPr>
        <w:rFonts w:hint="default"/>
      </w:rPr>
    </w:lvl>
    <w:lvl w:ilvl="4">
      <w:start w:val="1"/>
      <w:numFmt w:val="decimal"/>
      <w:pStyle w:val="X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12" w15:restartNumberingAfterBreak="0">
    <w:nsid w:val="516A1AD9"/>
    <w:multiLevelType w:val="multilevel"/>
    <w:tmpl w:val="64382C2E"/>
    <w:lvl w:ilvl="0">
      <w:start w:val="1"/>
      <w:numFmt w:val="decimal"/>
      <w:pStyle w:val="USchedNo1"/>
      <w:lvlText w:val="%1."/>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chedNo2"/>
      <w:lvlText w:val="%1.%2"/>
      <w:lvlJc w:val="left"/>
      <w:pPr>
        <w:tabs>
          <w:tab w:val="num" w:pos="851"/>
        </w:tabs>
        <w:ind w:left="851" w:hanging="851"/>
      </w:pPr>
      <w:rPr>
        <w:rFonts w:hint="default"/>
      </w:rPr>
    </w:lvl>
    <w:lvl w:ilvl="2">
      <w:start w:val="1"/>
      <w:numFmt w:val="decimal"/>
      <w:pStyle w:val="USchedNo3"/>
      <w:lvlText w:val="%1.%2.%3"/>
      <w:lvlJc w:val="left"/>
      <w:pPr>
        <w:tabs>
          <w:tab w:val="num" w:pos="1701"/>
        </w:tabs>
        <w:ind w:left="1701" w:hanging="850"/>
      </w:pPr>
      <w:rPr>
        <w:rFonts w:hint="default"/>
      </w:rPr>
    </w:lvl>
    <w:lvl w:ilvl="3">
      <w:start w:val="1"/>
      <w:numFmt w:val="decimal"/>
      <w:pStyle w:val="USchedNo4"/>
      <w:lvlText w:val="%1.%2.%3.%4"/>
      <w:lvlJc w:val="left"/>
      <w:pPr>
        <w:tabs>
          <w:tab w:val="num" w:pos="3141"/>
        </w:tabs>
        <w:ind w:left="2722" w:hanging="1021"/>
      </w:pPr>
      <w:rPr>
        <w:rFonts w:hint="default"/>
      </w:rPr>
    </w:lvl>
    <w:lvl w:ilvl="4">
      <w:start w:val="1"/>
      <w:numFmt w:val="decimal"/>
      <w:pStyle w:val="U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13" w15:restartNumberingAfterBreak="0">
    <w:nsid w:val="5DF14097"/>
    <w:multiLevelType w:val="multilevel"/>
    <w:tmpl w:val="8B8ACEE2"/>
    <w:lvl w:ilvl="0">
      <w:start w:val="1"/>
      <w:numFmt w:val="decimal"/>
      <w:pStyle w:val="VSchedNo1"/>
      <w:lvlText w:val="%1."/>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SchedNo2"/>
      <w:lvlText w:val="%1.%2"/>
      <w:lvlJc w:val="left"/>
      <w:pPr>
        <w:tabs>
          <w:tab w:val="num" w:pos="851"/>
        </w:tabs>
        <w:ind w:left="851" w:hanging="851"/>
      </w:pPr>
      <w:rPr>
        <w:rFonts w:hint="default"/>
      </w:rPr>
    </w:lvl>
    <w:lvl w:ilvl="2">
      <w:start w:val="1"/>
      <w:numFmt w:val="decimal"/>
      <w:pStyle w:val="VSchedNo3"/>
      <w:lvlText w:val="%1.%2.%3"/>
      <w:lvlJc w:val="left"/>
      <w:pPr>
        <w:tabs>
          <w:tab w:val="num" w:pos="1701"/>
        </w:tabs>
        <w:ind w:left="1701" w:hanging="850"/>
      </w:pPr>
      <w:rPr>
        <w:rFonts w:hint="default"/>
      </w:rPr>
    </w:lvl>
    <w:lvl w:ilvl="3">
      <w:start w:val="1"/>
      <w:numFmt w:val="decimal"/>
      <w:pStyle w:val="VSchedNo4"/>
      <w:lvlText w:val="%1.%2.%3.%4"/>
      <w:lvlJc w:val="left"/>
      <w:pPr>
        <w:tabs>
          <w:tab w:val="num" w:pos="3141"/>
        </w:tabs>
        <w:ind w:left="2722" w:hanging="1021"/>
      </w:pPr>
      <w:rPr>
        <w:rFonts w:hint="default"/>
      </w:rPr>
    </w:lvl>
    <w:lvl w:ilvl="4">
      <w:start w:val="1"/>
      <w:numFmt w:val="decimal"/>
      <w:pStyle w:val="V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14" w15:restartNumberingAfterBreak="0">
    <w:nsid w:val="63DA5D24"/>
    <w:multiLevelType w:val="hybridMultilevel"/>
    <w:tmpl w:val="DDF8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524F3"/>
    <w:multiLevelType w:val="multilevel"/>
    <w:tmpl w:val="BF48B5CE"/>
    <w:lvl w:ilvl="0">
      <w:start w:val="1"/>
      <w:numFmt w:val="decimal"/>
      <w:pStyle w:val="ListNumber"/>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EF1651C"/>
    <w:multiLevelType w:val="hybridMultilevel"/>
    <w:tmpl w:val="9F748CC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C57BD"/>
    <w:multiLevelType w:val="multilevel"/>
    <w:tmpl w:val="FFEEFD7A"/>
    <w:lvl w:ilvl="0">
      <w:start w:val="1"/>
      <w:numFmt w:val="decimal"/>
      <w:pStyle w:val="TSchedNo1"/>
      <w:lvlText w:val="%1."/>
      <w:lvlJc w:val="left"/>
      <w:pPr>
        <w:tabs>
          <w:tab w:val="num" w:pos="851"/>
        </w:tabs>
        <w:ind w:left="851" w:hanging="851"/>
      </w:pPr>
      <w:rPr>
        <w:rFonts w:ascii="Arial" w:hAnsi="Arial" w:cs="Arial" w:hint="default"/>
        <w:b w:val="0"/>
        <w:i w:val="0"/>
        <w:sz w:val="22"/>
        <w:szCs w:val="22"/>
      </w:rPr>
    </w:lvl>
    <w:lvl w:ilvl="1">
      <w:start w:val="1"/>
      <w:numFmt w:val="decimal"/>
      <w:pStyle w:val="TSchedNo2"/>
      <w:lvlText w:val="%1.%2"/>
      <w:lvlJc w:val="left"/>
      <w:pPr>
        <w:tabs>
          <w:tab w:val="num" w:pos="851"/>
        </w:tabs>
        <w:ind w:left="851" w:hanging="851"/>
      </w:pPr>
      <w:rPr>
        <w:rFonts w:hint="default"/>
      </w:rPr>
    </w:lvl>
    <w:lvl w:ilvl="2">
      <w:start w:val="1"/>
      <w:numFmt w:val="decimal"/>
      <w:pStyle w:val="TSchedNo3"/>
      <w:lvlText w:val="%1.%2.%3"/>
      <w:lvlJc w:val="left"/>
      <w:pPr>
        <w:tabs>
          <w:tab w:val="num" w:pos="1701"/>
        </w:tabs>
        <w:ind w:left="1701" w:hanging="850"/>
      </w:pPr>
      <w:rPr>
        <w:rFonts w:hint="default"/>
      </w:rPr>
    </w:lvl>
    <w:lvl w:ilvl="3">
      <w:start w:val="1"/>
      <w:numFmt w:val="decimal"/>
      <w:pStyle w:val="TSchedNo4"/>
      <w:lvlText w:val="%1.%2.%3.%4"/>
      <w:lvlJc w:val="left"/>
      <w:pPr>
        <w:tabs>
          <w:tab w:val="num" w:pos="3141"/>
        </w:tabs>
        <w:ind w:left="2722" w:hanging="1021"/>
      </w:pPr>
      <w:rPr>
        <w:rFonts w:hint="default"/>
      </w:rPr>
    </w:lvl>
    <w:lvl w:ilvl="4">
      <w:start w:val="1"/>
      <w:numFmt w:val="decimal"/>
      <w:pStyle w:val="TSchedNo5"/>
      <w:lvlText w:val="%1.%2.%3.%4.%5"/>
      <w:lvlJc w:val="left"/>
      <w:pPr>
        <w:tabs>
          <w:tab w:val="num" w:pos="4162"/>
        </w:tabs>
        <w:ind w:left="3856" w:hanging="1134"/>
      </w:pPr>
      <w:rPr>
        <w:rFonts w:hint="default"/>
      </w:rPr>
    </w:lvl>
    <w:lvl w:ilvl="5">
      <w:start w:val="1"/>
      <w:numFmt w:val="decimal"/>
      <w:lvlText w:val="%1.%2.%3.%4.%5.%6"/>
      <w:lvlJc w:val="left"/>
      <w:pPr>
        <w:tabs>
          <w:tab w:val="num" w:pos="10309"/>
        </w:tabs>
        <w:ind w:left="10309" w:hanging="2160"/>
      </w:pPr>
      <w:rPr>
        <w:rFonts w:hint="default"/>
      </w:rPr>
    </w:lvl>
    <w:lvl w:ilvl="6">
      <w:start w:val="1"/>
      <w:numFmt w:val="decimal"/>
      <w:lvlText w:val="%1.%2.%3.%4.%5.%6.%7"/>
      <w:lvlJc w:val="left"/>
      <w:pPr>
        <w:tabs>
          <w:tab w:val="num" w:pos="11029"/>
        </w:tabs>
        <w:ind w:left="11029" w:hanging="2880"/>
      </w:pPr>
      <w:rPr>
        <w:rFonts w:hint="default"/>
      </w:rPr>
    </w:lvl>
    <w:lvl w:ilvl="7">
      <w:start w:val="1"/>
      <w:numFmt w:val="decimal"/>
      <w:lvlText w:val="%1.%2.%3.%4.%5.%6.%7.%8"/>
      <w:lvlJc w:val="left"/>
      <w:pPr>
        <w:tabs>
          <w:tab w:val="num" w:pos="9949"/>
        </w:tabs>
        <w:ind w:left="9589" w:hanging="1440"/>
      </w:pPr>
      <w:rPr>
        <w:rFonts w:hint="default"/>
      </w:rPr>
    </w:lvl>
    <w:lvl w:ilvl="8">
      <w:start w:val="1"/>
      <w:numFmt w:val="decimal"/>
      <w:lvlText w:val="%1.%2.%3.%4.%5.%6.%7.%8.%9"/>
      <w:lvlJc w:val="left"/>
      <w:pPr>
        <w:tabs>
          <w:tab w:val="num" w:pos="10309"/>
        </w:tabs>
        <w:ind w:left="9589" w:hanging="1440"/>
      </w:pPr>
      <w:rPr>
        <w:rFonts w:hint="default"/>
      </w:rPr>
    </w:lvl>
  </w:abstractNum>
  <w:abstractNum w:abstractNumId="18" w15:restartNumberingAfterBreak="0">
    <w:nsid w:val="786B0239"/>
    <w:multiLevelType w:val="multilevel"/>
    <w:tmpl w:val="EB082118"/>
    <w:lvl w:ilvl="0">
      <w:start w:val="1"/>
      <w:numFmt w:val="decimal"/>
      <w:pStyle w:val="WSchedNo1"/>
      <w:lvlText w:val="%1."/>
      <w:lvlJc w:val="left"/>
      <w:pPr>
        <w:ind w:left="851" w:hanging="851"/>
      </w:pPr>
      <w:rPr>
        <w:rFonts w:ascii="Arial" w:hAnsi="Arial" w:hint="default"/>
        <w:sz w:val="22"/>
      </w:rPr>
    </w:lvl>
    <w:lvl w:ilvl="1">
      <w:start w:val="1"/>
      <w:numFmt w:val="decimal"/>
      <w:pStyle w:val="WSchedNo2"/>
      <w:lvlText w:val="%1.%2"/>
      <w:lvlJc w:val="left"/>
      <w:pPr>
        <w:tabs>
          <w:tab w:val="num" w:pos="851"/>
        </w:tabs>
        <w:ind w:left="851" w:hanging="851"/>
      </w:pPr>
      <w:rPr>
        <w:rFonts w:hint="default"/>
      </w:rPr>
    </w:lvl>
    <w:lvl w:ilvl="2">
      <w:start w:val="1"/>
      <w:numFmt w:val="decimal"/>
      <w:pStyle w:val="WSchedNo3"/>
      <w:lvlText w:val="%1.%2.%3"/>
      <w:lvlJc w:val="left"/>
      <w:pPr>
        <w:ind w:left="1080" w:hanging="229"/>
      </w:pPr>
      <w:rPr>
        <w:rFonts w:hint="default"/>
      </w:rPr>
    </w:lvl>
    <w:lvl w:ilvl="3">
      <w:start w:val="1"/>
      <w:numFmt w:val="decimal"/>
      <w:pStyle w:val="WSchedNo4"/>
      <w:lvlText w:val="%1.%2.%3.%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WSchedNo5"/>
      <w:lvlText w:val="%1.%2.%3.%4.%5"/>
      <w:lvlJc w:val="left"/>
      <w:pPr>
        <w:ind w:left="18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5"/>
  </w:num>
  <w:num w:numId="2">
    <w:abstractNumId w:val="6"/>
  </w:num>
  <w:num w:numId="3">
    <w:abstractNumId w:val="3"/>
  </w:num>
  <w:num w:numId="4">
    <w:abstractNumId w:val="1"/>
  </w:num>
  <w:num w:numId="5">
    <w:abstractNumId w:val="9"/>
  </w:num>
  <w:num w:numId="6">
    <w:abstractNumId w:val="13"/>
  </w:num>
  <w:num w:numId="7">
    <w:abstractNumId w:val="12"/>
  </w:num>
  <w:num w:numId="8">
    <w:abstractNumId w:val="18"/>
  </w:num>
  <w:num w:numId="9">
    <w:abstractNumId w:val="11"/>
  </w:num>
  <w:num w:numId="10">
    <w:abstractNumId w:val="10"/>
  </w:num>
  <w:num w:numId="11">
    <w:abstractNumId w:val="4"/>
  </w:num>
  <w:num w:numId="12">
    <w:abstractNumId w:val="17"/>
  </w:num>
  <w:num w:numId="13">
    <w:abstractNumId w:val="14"/>
  </w:num>
  <w:num w:numId="14">
    <w:abstractNumId w:val="2"/>
  </w:num>
  <w:num w:numId="15">
    <w:abstractNumId w:val="16"/>
  </w:num>
  <w:num w:numId="16">
    <w:abstractNumId w:val="7"/>
  </w:num>
  <w:num w:numId="17">
    <w:abstractNumId w:val="5"/>
  </w:num>
  <w:num w:numId="18">
    <w:abstractNumId w:val="8"/>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50"/>
    <w:rsid w:val="00002F1A"/>
    <w:rsid w:val="00040550"/>
    <w:rsid w:val="00070831"/>
    <w:rsid w:val="00072D72"/>
    <w:rsid w:val="000F356F"/>
    <w:rsid w:val="000F6634"/>
    <w:rsid w:val="00147337"/>
    <w:rsid w:val="0016102A"/>
    <w:rsid w:val="00194E59"/>
    <w:rsid w:val="001A083A"/>
    <w:rsid w:val="001B7704"/>
    <w:rsid w:val="001D0E10"/>
    <w:rsid w:val="001D4BCF"/>
    <w:rsid w:val="001D6168"/>
    <w:rsid w:val="001E48CE"/>
    <w:rsid w:val="0022529F"/>
    <w:rsid w:val="00243609"/>
    <w:rsid w:val="00264869"/>
    <w:rsid w:val="002C029F"/>
    <w:rsid w:val="002C128B"/>
    <w:rsid w:val="002E640E"/>
    <w:rsid w:val="002E7F84"/>
    <w:rsid w:val="00333FC8"/>
    <w:rsid w:val="003428FF"/>
    <w:rsid w:val="0035299A"/>
    <w:rsid w:val="00360D8D"/>
    <w:rsid w:val="00371155"/>
    <w:rsid w:val="0037245E"/>
    <w:rsid w:val="003A07C5"/>
    <w:rsid w:val="003E342B"/>
    <w:rsid w:val="003E56BE"/>
    <w:rsid w:val="003F3F36"/>
    <w:rsid w:val="004522F4"/>
    <w:rsid w:val="00455CD7"/>
    <w:rsid w:val="00482EAF"/>
    <w:rsid w:val="004A28BD"/>
    <w:rsid w:val="004C3C98"/>
    <w:rsid w:val="004D3384"/>
    <w:rsid w:val="004E1793"/>
    <w:rsid w:val="004E1B93"/>
    <w:rsid w:val="004F6073"/>
    <w:rsid w:val="005230F9"/>
    <w:rsid w:val="00531CED"/>
    <w:rsid w:val="00534C0C"/>
    <w:rsid w:val="005441B6"/>
    <w:rsid w:val="005B7F3B"/>
    <w:rsid w:val="005C15C4"/>
    <w:rsid w:val="006536B0"/>
    <w:rsid w:val="006634CC"/>
    <w:rsid w:val="006A0AC5"/>
    <w:rsid w:val="006B4568"/>
    <w:rsid w:val="006E3544"/>
    <w:rsid w:val="006F1D10"/>
    <w:rsid w:val="006F6BD4"/>
    <w:rsid w:val="00742EB8"/>
    <w:rsid w:val="007712F4"/>
    <w:rsid w:val="007D27B3"/>
    <w:rsid w:val="008517CB"/>
    <w:rsid w:val="00875150"/>
    <w:rsid w:val="008C126C"/>
    <w:rsid w:val="0092371A"/>
    <w:rsid w:val="00926F9B"/>
    <w:rsid w:val="0095582F"/>
    <w:rsid w:val="009A279F"/>
    <w:rsid w:val="009C08C4"/>
    <w:rsid w:val="009C74ED"/>
    <w:rsid w:val="009E3C12"/>
    <w:rsid w:val="009F0EE0"/>
    <w:rsid w:val="00A2727D"/>
    <w:rsid w:val="00A65E6B"/>
    <w:rsid w:val="00A71325"/>
    <w:rsid w:val="00A83715"/>
    <w:rsid w:val="00AA16C1"/>
    <w:rsid w:val="00AB6A76"/>
    <w:rsid w:val="00B0705B"/>
    <w:rsid w:val="00B54C0F"/>
    <w:rsid w:val="00B83485"/>
    <w:rsid w:val="00B92AD5"/>
    <w:rsid w:val="00BA6408"/>
    <w:rsid w:val="00BF0F91"/>
    <w:rsid w:val="00C20A5D"/>
    <w:rsid w:val="00C217F8"/>
    <w:rsid w:val="00C72F1C"/>
    <w:rsid w:val="00C97B9E"/>
    <w:rsid w:val="00CA5FED"/>
    <w:rsid w:val="00CB19E3"/>
    <w:rsid w:val="00CD1796"/>
    <w:rsid w:val="00CE2F45"/>
    <w:rsid w:val="00CF267A"/>
    <w:rsid w:val="00D23B94"/>
    <w:rsid w:val="00D37FA1"/>
    <w:rsid w:val="00D621DD"/>
    <w:rsid w:val="00D6661A"/>
    <w:rsid w:val="00D714CF"/>
    <w:rsid w:val="00DA4DC0"/>
    <w:rsid w:val="00DB1B70"/>
    <w:rsid w:val="00DB29D8"/>
    <w:rsid w:val="00DB369E"/>
    <w:rsid w:val="00DB42D3"/>
    <w:rsid w:val="00DE5B77"/>
    <w:rsid w:val="00E23C2B"/>
    <w:rsid w:val="00E2618F"/>
    <w:rsid w:val="00E669EB"/>
    <w:rsid w:val="00ED2624"/>
    <w:rsid w:val="00ED4546"/>
    <w:rsid w:val="00EE0B74"/>
    <w:rsid w:val="00EE1A9D"/>
    <w:rsid w:val="00EE5607"/>
    <w:rsid w:val="00F06384"/>
    <w:rsid w:val="00F57DFE"/>
    <w:rsid w:val="00F70841"/>
    <w:rsid w:val="00F7212A"/>
    <w:rsid w:val="00FD51C1"/>
    <w:rsid w:val="00FE15C8"/>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187C8"/>
  <w15:docId w15:val="{EEC82EA9-C46C-4A03-823D-946F4A8E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1DD"/>
    <w:pPr>
      <w:jc w:val="both"/>
    </w:pPr>
    <w:rPr>
      <w:rFonts w:ascii="Arial" w:hAnsi="Arial"/>
      <w:sz w:val="22"/>
      <w:lang w:eastAsia="en-US"/>
    </w:rPr>
  </w:style>
  <w:style w:type="paragraph" w:styleId="Heading1">
    <w:name w:val="heading 1"/>
    <w:basedOn w:val="Normal"/>
    <w:next w:val="BodyText"/>
    <w:qFormat/>
    <w:rsid w:val="00B83485"/>
    <w:pPr>
      <w:keepNext/>
      <w:spacing w:after="240"/>
      <w:jc w:val="center"/>
      <w:outlineLvl w:val="0"/>
    </w:pPr>
    <w:rPr>
      <w:b/>
      <w:kern w:val="28"/>
    </w:rPr>
  </w:style>
  <w:style w:type="paragraph" w:styleId="Heading2">
    <w:name w:val="heading 2"/>
    <w:basedOn w:val="Normal"/>
    <w:next w:val="BodyText2"/>
    <w:qFormat/>
    <w:rsid w:val="00B83485"/>
    <w:pPr>
      <w:keepNext/>
      <w:spacing w:after="240"/>
      <w:jc w:val="center"/>
      <w:outlineLvl w:val="1"/>
    </w:pPr>
    <w:rPr>
      <w:b/>
      <w:sz w:val="40"/>
    </w:rPr>
  </w:style>
  <w:style w:type="paragraph" w:styleId="Heading3">
    <w:name w:val="heading 3"/>
    <w:basedOn w:val="Normal"/>
    <w:next w:val="BodyText"/>
    <w:qFormat/>
    <w:pPr>
      <w:keepNext/>
      <w:spacing w:after="240"/>
      <w:outlineLvl w:val="2"/>
    </w:pPr>
    <w:rPr>
      <w:b/>
      <w:sz w:val="36"/>
    </w:rPr>
  </w:style>
  <w:style w:type="paragraph" w:styleId="Heading4">
    <w:name w:val="heading 4"/>
    <w:basedOn w:val="Normal"/>
    <w:next w:val="BodyText"/>
    <w:qFormat/>
    <w:pPr>
      <w:keepNext/>
      <w:spacing w:after="240"/>
      <w:outlineLvl w:val="3"/>
    </w:pPr>
    <w:rPr>
      <w:b/>
      <w:sz w:val="32"/>
    </w:rPr>
  </w:style>
  <w:style w:type="paragraph" w:styleId="Heading5">
    <w:name w:val="heading 5"/>
    <w:basedOn w:val="Normal"/>
    <w:next w:val="BodyText"/>
    <w:qFormat/>
    <w:pPr>
      <w:keepNext/>
      <w:spacing w:after="240"/>
      <w:jc w:val="left"/>
      <w:outlineLvl w:val="4"/>
    </w:pPr>
    <w:rPr>
      <w:b/>
      <w:sz w:val="28"/>
    </w:rPr>
  </w:style>
  <w:style w:type="paragraph" w:styleId="Heading6">
    <w:name w:val="heading 6"/>
    <w:basedOn w:val="Normal"/>
    <w:next w:val="BodyText2"/>
    <w:qFormat/>
    <w:pPr>
      <w:keepNext/>
      <w:spacing w:after="240"/>
      <w:jc w:val="left"/>
      <w:outlineLvl w:val="5"/>
    </w:pPr>
    <w:rPr>
      <w:b/>
      <w:bCs/>
      <w:sz w:val="26"/>
      <w:szCs w:val="22"/>
    </w:rPr>
  </w:style>
  <w:style w:type="paragraph" w:styleId="Heading7">
    <w:name w:val="heading 7"/>
    <w:basedOn w:val="Normal"/>
    <w:next w:val="Normal"/>
    <w:qFormat/>
    <w:pPr>
      <w:keepNext/>
      <w:spacing w:after="240"/>
      <w:jc w:val="left"/>
      <w:outlineLvl w:val="6"/>
    </w:pPr>
    <w:rPr>
      <w:b/>
    </w:rPr>
  </w:style>
  <w:style w:type="paragraph" w:styleId="Heading8">
    <w:name w:val="heading 8"/>
    <w:basedOn w:val="Normal"/>
    <w:next w:val="Normal"/>
    <w:qFormat/>
    <w:pPr>
      <w:spacing w:before="240" w:after="60"/>
      <w:outlineLvl w:val="7"/>
    </w:pPr>
    <w:rPr>
      <w:rFonts w:ascii="Univers (W1)" w:hAnsi="Univers (W1)"/>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style>
  <w:style w:type="paragraph" w:styleId="BodyText2">
    <w:name w:val="Body Text 2"/>
    <w:basedOn w:val="Normal"/>
    <w:pPr>
      <w:spacing w:after="240" w:line="360" w:lineRule="auto"/>
    </w:pPr>
  </w:style>
  <w:style w:type="paragraph" w:customStyle="1" w:styleId="Mundays1">
    <w:name w:val="Mundays1"/>
    <w:basedOn w:val="BodyText"/>
    <w:next w:val="Mundaysfollow1"/>
    <w:rsid w:val="009A279F"/>
    <w:pPr>
      <w:numPr>
        <w:numId w:val="4"/>
      </w:numPr>
      <w:spacing w:after="240"/>
      <w:outlineLvl w:val="0"/>
    </w:pPr>
    <w:rPr>
      <w:b/>
    </w:rPr>
  </w:style>
  <w:style w:type="paragraph" w:customStyle="1" w:styleId="Mundaysfollow1">
    <w:name w:val="Mundaysfollow1"/>
    <w:basedOn w:val="BodyText"/>
    <w:pPr>
      <w:spacing w:after="240"/>
    </w:pPr>
  </w:style>
  <w:style w:type="paragraph" w:customStyle="1" w:styleId="Mundays2">
    <w:name w:val="Mundays2"/>
    <w:basedOn w:val="BodyText"/>
    <w:rsid w:val="009A279F"/>
    <w:pPr>
      <w:numPr>
        <w:ilvl w:val="1"/>
        <w:numId w:val="4"/>
      </w:numPr>
      <w:spacing w:after="240"/>
    </w:pPr>
  </w:style>
  <w:style w:type="paragraph" w:styleId="Header">
    <w:name w:val="header"/>
    <w:basedOn w:val="Normal"/>
    <w:link w:val="HeaderChar"/>
    <w:uiPriority w:val="99"/>
    <w:rsid w:val="00531CED"/>
    <w:pPr>
      <w:tabs>
        <w:tab w:val="center" w:pos="4153"/>
        <w:tab w:val="right" w:pos="8306"/>
      </w:tabs>
    </w:pPr>
    <w:rPr>
      <w:sz w:val="16"/>
    </w:rPr>
  </w:style>
  <w:style w:type="paragraph" w:customStyle="1" w:styleId="Mundays3">
    <w:name w:val="Mundays3"/>
    <w:basedOn w:val="BodyText"/>
    <w:rsid w:val="009A279F"/>
    <w:pPr>
      <w:numPr>
        <w:ilvl w:val="2"/>
        <w:numId w:val="4"/>
      </w:numPr>
      <w:spacing w:after="240"/>
      <w:outlineLvl w:val="2"/>
    </w:pPr>
  </w:style>
  <w:style w:type="paragraph" w:customStyle="1" w:styleId="Mundays4">
    <w:name w:val="Mundays4"/>
    <w:basedOn w:val="BodyText"/>
    <w:rsid w:val="009A279F"/>
    <w:pPr>
      <w:numPr>
        <w:ilvl w:val="3"/>
        <w:numId w:val="4"/>
      </w:numPr>
      <w:tabs>
        <w:tab w:val="left" w:pos="2722"/>
      </w:tabs>
      <w:spacing w:after="240"/>
      <w:outlineLvl w:val="3"/>
    </w:pPr>
  </w:style>
  <w:style w:type="paragraph" w:styleId="Footer">
    <w:name w:val="footer"/>
    <w:basedOn w:val="Normal"/>
    <w:link w:val="FooterChar"/>
    <w:uiPriority w:val="99"/>
    <w:rsid w:val="004E1B93"/>
    <w:pPr>
      <w:tabs>
        <w:tab w:val="right" w:pos="9639"/>
      </w:tabs>
    </w:pPr>
    <w:rPr>
      <w:sz w:val="16"/>
    </w:rPr>
  </w:style>
  <w:style w:type="paragraph" w:customStyle="1" w:styleId="WSchedNo1">
    <w:name w:val="WSchedNo1"/>
    <w:basedOn w:val="VSchedNo1"/>
    <w:qFormat/>
    <w:rsid w:val="00B0705B"/>
    <w:pPr>
      <w:numPr>
        <w:numId w:val="8"/>
      </w:numPr>
    </w:pPr>
  </w:style>
  <w:style w:type="paragraph" w:customStyle="1" w:styleId="Mundays5">
    <w:name w:val="Mundays5"/>
    <w:basedOn w:val="BodyText"/>
    <w:rsid w:val="009A279F"/>
    <w:pPr>
      <w:numPr>
        <w:ilvl w:val="4"/>
        <w:numId w:val="4"/>
      </w:numPr>
      <w:tabs>
        <w:tab w:val="left" w:pos="3856"/>
      </w:tabs>
      <w:spacing w:after="240"/>
      <w:outlineLvl w:val="4"/>
    </w:pPr>
  </w:style>
  <w:style w:type="paragraph" w:customStyle="1" w:styleId="MundaysFollow3">
    <w:name w:val="MundaysFollow3"/>
    <w:basedOn w:val="Mundaysfollow1"/>
    <w:pPr>
      <w:ind w:left="1701"/>
    </w:pPr>
  </w:style>
  <w:style w:type="paragraph" w:customStyle="1" w:styleId="MundaysFollow4">
    <w:name w:val="MundaysFollow4"/>
    <w:basedOn w:val="Mundaysfollow1"/>
    <w:pPr>
      <w:ind w:left="2722"/>
    </w:pPr>
  </w:style>
  <w:style w:type="paragraph" w:customStyle="1" w:styleId="MundaysFollow5">
    <w:name w:val="MundaysFollow5"/>
    <w:basedOn w:val="Mundaysfollow1"/>
    <w:pPr>
      <w:ind w:left="3856"/>
    </w:pPr>
  </w:style>
  <w:style w:type="paragraph" w:customStyle="1" w:styleId="MundaysLetters">
    <w:name w:val="MundaysLetters"/>
    <w:basedOn w:val="Normal"/>
    <w:rsid w:val="009A279F"/>
    <w:pPr>
      <w:spacing w:after="240"/>
    </w:pPr>
  </w:style>
  <w:style w:type="paragraph" w:customStyle="1" w:styleId="MundaysNoHeading">
    <w:name w:val="MundaysNoHeading"/>
    <w:basedOn w:val="Normal"/>
    <w:rsid w:val="009A279F"/>
    <w:pPr>
      <w:numPr>
        <w:numId w:val="5"/>
      </w:numPr>
      <w:spacing w:after="240" w:line="360" w:lineRule="auto"/>
    </w:pPr>
  </w:style>
  <w:style w:type="paragraph" w:styleId="TOC2">
    <w:name w:val="toc 2"/>
    <w:basedOn w:val="Normal"/>
    <w:next w:val="Normal"/>
    <w:pPr>
      <w:tabs>
        <w:tab w:val="left" w:pos="851"/>
        <w:tab w:val="right" w:leader="dot" w:pos="9356"/>
      </w:tabs>
      <w:ind w:left="851"/>
    </w:pPr>
    <w:rPr>
      <w:noProof/>
    </w:rPr>
  </w:style>
  <w:style w:type="paragraph" w:styleId="TOC4">
    <w:name w:val="toc 4"/>
    <w:basedOn w:val="Normal"/>
    <w:next w:val="Normal"/>
    <w:pPr>
      <w:ind w:left="720"/>
    </w:pPr>
  </w:style>
  <w:style w:type="paragraph" w:styleId="ListNumber">
    <w:name w:val="List Number"/>
    <w:basedOn w:val="BodyText"/>
    <w:pPr>
      <w:numPr>
        <w:numId w:val="1"/>
      </w:numPr>
      <w:spacing w:after="240"/>
    </w:pPr>
  </w:style>
  <w:style w:type="paragraph" w:styleId="TOC1">
    <w:name w:val="toc 1"/>
    <w:basedOn w:val="Normal"/>
    <w:next w:val="Normal"/>
    <w:pPr>
      <w:tabs>
        <w:tab w:val="left" w:pos="851"/>
        <w:tab w:val="right" w:leader="dot" w:pos="9356"/>
      </w:tabs>
    </w:pPr>
  </w:style>
  <w:style w:type="paragraph" w:styleId="BlockText">
    <w:name w:val="Block Text"/>
    <w:basedOn w:val="Normal"/>
    <w:pPr>
      <w:spacing w:after="120"/>
      <w:ind w:left="1440" w:right="1440"/>
    </w:pPr>
  </w:style>
  <w:style w:type="paragraph" w:customStyle="1" w:styleId="ListNoAlpha">
    <w:name w:val="List No Alpha"/>
    <w:basedOn w:val="ListNumber"/>
    <w:pPr>
      <w:numPr>
        <w:numId w:val="2"/>
      </w:numPr>
    </w:pPr>
  </w:style>
  <w:style w:type="paragraph" w:customStyle="1" w:styleId="Mundaysfollow2">
    <w:name w:val="Mundaysfollow2"/>
    <w:basedOn w:val="Mundaysfollow1"/>
    <w:pPr>
      <w:tabs>
        <w:tab w:val="left" w:pos="851"/>
      </w:tabs>
      <w:ind w:left="851"/>
    </w:pPr>
  </w:style>
  <w:style w:type="paragraph" w:customStyle="1" w:styleId="SchedNo1">
    <w:name w:val="SchedNo1"/>
    <w:basedOn w:val="Mundays1"/>
    <w:rsid w:val="009A279F"/>
    <w:pPr>
      <w:numPr>
        <w:numId w:val="3"/>
      </w:numPr>
      <w:outlineLvl w:val="9"/>
    </w:pPr>
    <w:rPr>
      <w:b w:val="0"/>
    </w:rPr>
  </w:style>
  <w:style w:type="paragraph" w:customStyle="1" w:styleId="NoHeading2">
    <w:name w:val="NoHeading2"/>
    <w:basedOn w:val="Mundays2"/>
    <w:rsid w:val="009A279F"/>
    <w:pPr>
      <w:numPr>
        <w:numId w:val="5"/>
      </w:numPr>
    </w:pPr>
  </w:style>
  <w:style w:type="paragraph" w:customStyle="1" w:styleId="NoHeading3">
    <w:name w:val="NoHeading3"/>
    <w:basedOn w:val="Mundays3"/>
    <w:rsid w:val="009A279F"/>
    <w:pPr>
      <w:numPr>
        <w:numId w:val="5"/>
      </w:numPr>
    </w:pPr>
  </w:style>
  <w:style w:type="paragraph" w:customStyle="1" w:styleId="NoHeading4">
    <w:name w:val="NoHeading4"/>
    <w:basedOn w:val="Mundays4"/>
    <w:rsid w:val="009A279F"/>
    <w:pPr>
      <w:numPr>
        <w:numId w:val="5"/>
      </w:numPr>
    </w:pPr>
  </w:style>
  <w:style w:type="paragraph" w:customStyle="1" w:styleId="NoHeading5">
    <w:name w:val="NoHeading5"/>
    <w:basedOn w:val="Mundays5"/>
    <w:rsid w:val="009A279F"/>
    <w:pPr>
      <w:numPr>
        <w:numId w:val="5"/>
      </w:numPr>
    </w:pPr>
  </w:style>
  <w:style w:type="paragraph" w:customStyle="1" w:styleId="SchedNo2">
    <w:name w:val="SchedNo2"/>
    <w:basedOn w:val="NoHeading2"/>
    <w:rsid w:val="009A279F"/>
    <w:pPr>
      <w:numPr>
        <w:numId w:val="3"/>
      </w:numPr>
    </w:pPr>
  </w:style>
  <w:style w:type="paragraph" w:customStyle="1" w:styleId="SchedNo3">
    <w:name w:val="SchedNo3"/>
    <w:basedOn w:val="NoHeading3"/>
    <w:rsid w:val="009A279F"/>
    <w:pPr>
      <w:numPr>
        <w:numId w:val="3"/>
      </w:numPr>
    </w:pPr>
  </w:style>
  <w:style w:type="paragraph" w:customStyle="1" w:styleId="SchedNo4">
    <w:name w:val="SchedNo4"/>
    <w:basedOn w:val="NoHeading4"/>
    <w:rsid w:val="009A279F"/>
    <w:pPr>
      <w:numPr>
        <w:numId w:val="3"/>
      </w:numPr>
    </w:pPr>
  </w:style>
  <w:style w:type="paragraph" w:customStyle="1" w:styleId="SchedNo5">
    <w:name w:val="SchedNo5"/>
    <w:basedOn w:val="NoHeading5"/>
    <w:rsid w:val="009A279F"/>
    <w:pPr>
      <w:numPr>
        <w:numId w:val="3"/>
      </w:numPr>
    </w:pPr>
  </w:style>
  <w:style w:type="character" w:styleId="Hyperlink">
    <w:name w:val="Hyperlink"/>
    <w:rPr>
      <w:color w:val="0000FF"/>
      <w:u w:val="single"/>
    </w:rPr>
  </w:style>
  <w:style w:type="paragraph" w:customStyle="1" w:styleId="TSchedNo1">
    <w:name w:val="TSchedNo1"/>
    <w:basedOn w:val="Normal"/>
    <w:rsid w:val="00926F9B"/>
    <w:pPr>
      <w:numPr>
        <w:numId w:val="12"/>
      </w:numPr>
      <w:spacing w:after="240" w:line="360" w:lineRule="auto"/>
    </w:pPr>
  </w:style>
  <w:style w:type="paragraph" w:customStyle="1" w:styleId="TSchedNo2">
    <w:name w:val="TSchedNo2"/>
    <w:basedOn w:val="SchedNo2"/>
    <w:pPr>
      <w:numPr>
        <w:numId w:val="12"/>
      </w:numPr>
    </w:pPr>
  </w:style>
  <w:style w:type="paragraph" w:customStyle="1" w:styleId="TSchedNo3">
    <w:name w:val="TSchedNo3"/>
    <w:basedOn w:val="SchedNo3"/>
    <w:rsid w:val="0092371A"/>
    <w:pPr>
      <w:numPr>
        <w:numId w:val="12"/>
      </w:numPr>
      <w:outlineLvl w:val="9"/>
    </w:pPr>
  </w:style>
  <w:style w:type="paragraph" w:customStyle="1" w:styleId="TSchedNo4">
    <w:name w:val="TSchedNo4"/>
    <w:basedOn w:val="SchedNo4"/>
    <w:pPr>
      <w:numPr>
        <w:numId w:val="12"/>
      </w:numPr>
    </w:pPr>
  </w:style>
  <w:style w:type="paragraph" w:customStyle="1" w:styleId="TSchedNo5">
    <w:name w:val="TSchedNo5"/>
    <w:basedOn w:val="SchedNo5"/>
    <w:pPr>
      <w:numPr>
        <w:numId w:val="12"/>
      </w:numPr>
    </w:pPr>
  </w:style>
  <w:style w:type="paragraph" w:customStyle="1" w:styleId="USchedNo1">
    <w:name w:val="USchedNo1"/>
    <w:basedOn w:val="TSchedNo1"/>
    <w:rsid w:val="009E3C12"/>
    <w:pPr>
      <w:numPr>
        <w:numId w:val="7"/>
      </w:numPr>
    </w:pPr>
  </w:style>
  <w:style w:type="paragraph" w:customStyle="1" w:styleId="USchedNo2">
    <w:name w:val="USchedNo2"/>
    <w:basedOn w:val="TSchedNo2"/>
    <w:rsid w:val="009A279F"/>
    <w:pPr>
      <w:numPr>
        <w:numId w:val="7"/>
      </w:numPr>
    </w:pPr>
  </w:style>
  <w:style w:type="paragraph" w:customStyle="1" w:styleId="USchedNo3">
    <w:name w:val="USchedNo3"/>
    <w:basedOn w:val="SchedNo3"/>
    <w:rsid w:val="0092371A"/>
    <w:pPr>
      <w:numPr>
        <w:numId w:val="7"/>
      </w:numPr>
      <w:ind w:left="1702" w:hanging="851"/>
      <w:outlineLvl w:val="9"/>
    </w:pPr>
  </w:style>
  <w:style w:type="paragraph" w:customStyle="1" w:styleId="USchedNo4">
    <w:name w:val="USchedNo4"/>
    <w:basedOn w:val="SchedNo4"/>
    <w:rsid w:val="009A279F"/>
    <w:pPr>
      <w:numPr>
        <w:numId w:val="7"/>
      </w:numPr>
    </w:pPr>
  </w:style>
  <w:style w:type="paragraph" w:customStyle="1" w:styleId="USchedNo5">
    <w:name w:val="USchedNo5"/>
    <w:basedOn w:val="TSchedNo5"/>
    <w:rsid w:val="009A279F"/>
    <w:pPr>
      <w:numPr>
        <w:numId w:val="7"/>
      </w:numPr>
    </w:pPr>
  </w:style>
  <w:style w:type="paragraph" w:styleId="TOC3">
    <w:name w:val="toc 3"/>
    <w:basedOn w:val="Normal"/>
    <w:next w:val="Normal"/>
    <w:pPr>
      <w:ind w:left="480"/>
    </w:pPr>
  </w:style>
  <w:style w:type="paragraph" w:styleId="TOC5">
    <w:name w:val="toc 5"/>
    <w:basedOn w:val="Normal"/>
    <w:next w:val="Normal"/>
    <w:pPr>
      <w:ind w:left="960"/>
    </w:pPr>
  </w:style>
  <w:style w:type="paragraph" w:styleId="TOC6">
    <w:name w:val="toc 6"/>
    <w:basedOn w:val="Normal"/>
    <w:next w:val="Normal"/>
    <w:pPr>
      <w:ind w:left="1200"/>
    </w:pPr>
  </w:style>
  <w:style w:type="paragraph" w:customStyle="1" w:styleId="VSchedNo1">
    <w:name w:val="VSchedNo1"/>
    <w:basedOn w:val="USchedNo1"/>
    <w:rsid w:val="009E3C12"/>
    <w:pPr>
      <w:numPr>
        <w:numId w:val="6"/>
      </w:numPr>
    </w:pPr>
  </w:style>
  <w:style w:type="paragraph" w:customStyle="1" w:styleId="VSchedNo2">
    <w:name w:val="VSchedNo2"/>
    <w:basedOn w:val="USchedNo2"/>
    <w:pPr>
      <w:numPr>
        <w:numId w:val="6"/>
      </w:numPr>
    </w:pPr>
  </w:style>
  <w:style w:type="paragraph" w:customStyle="1" w:styleId="VSchedNo3">
    <w:name w:val="VSchedNo3"/>
    <w:basedOn w:val="USchedNo3"/>
    <w:pPr>
      <w:numPr>
        <w:numId w:val="6"/>
      </w:numPr>
    </w:pPr>
  </w:style>
  <w:style w:type="paragraph" w:customStyle="1" w:styleId="VSchedNo4">
    <w:name w:val="VSchedNo4"/>
    <w:basedOn w:val="USchedNo4"/>
    <w:pPr>
      <w:numPr>
        <w:numId w:val="6"/>
      </w:numPr>
    </w:pPr>
  </w:style>
  <w:style w:type="paragraph" w:customStyle="1" w:styleId="VSchedNo5">
    <w:name w:val="VSchedNo5"/>
    <w:basedOn w:val="USchedNo5"/>
    <w:pPr>
      <w:numPr>
        <w:numId w:val="6"/>
      </w:numPr>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WSchedNo2">
    <w:name w:val="WSchedNo2"/>
    <w:basedOn w:val="VSchedNo2"/>
    <w:qFormat/>
    <w:rsid w:val="00B0705B"/>
    <w:pPr>
      <w:numPr>
        <w:numId w:val="8"/>
      </w:numPr>
    </w:pPr>
  </w:style>
  <w:style w:type="character" w:styleId="FootnoteReference">
    <w:name w:val="footnote reference"/>
    <w:semiHidden/>
    <w:rPr>
      <w:rFonts w:ascii="Times New Roman" w:hAnsi="Times New Roman"/>
      <w:sz w:val="16"/>
      <w:vertAlign w:val="superscript"/>
    </w:rPr>
  </w:style>
  <w:style w:type="paragraph" w:styleId="FootnoteText">
    <w:name w:val="footnote text"/>
    <w:basedOn w:val="Normal"/>
    <w:semiHidden/>
    <w:rPr>
      <w:sz w:val="16"/>
    </w:rPr>
  </w:style>
  <w:style w:type="paragraph" w:customStyle="1" w:styleId="BodyTextSingle">
    <w:name w:val="Body Text Single"/>
    <w:basedOn w:val="BodyText"/>
    <w:pPr>
      <w:spacing w:after="240" w:line="240" w:lineRule="auto"/>
    </w:pPr>
  </w:style>
  <w:style w:type="paragraph" w:customStyle="1" w:styleId="XSchedNo1">
    <w:name w:val="XSchedNo1"/>
    <w:basedOn w:val="TSchedNo1"/>
    <w:qFormat/>
    <w:rsid w:val="0092371A"/>
    <w:pPr>
      <w:numPr>
        <w:numId w:val="9"/>
      </w:numPr>
    </w:pPr>
  </w:style>
  <w:style w:type="paragraph" w:customStyle="1" w:styleId="XSchedNo2">
    <w:name w:val="XSchedNo2"/>
    <w:basedOn w:val="TSchedNo2"/>
    <w:qFormat/>
    <w:rsid w:val="0092371A"/>
    <w:pPr>
      <w:numPr>
        <w:numId w:val="9"/>
      </w:numPr>
    </w:pPr>
  </w:style>
  <w:style w:type="paragraph" w:customStyle="1" w:styleId="XSchedNo3">
    <w:name w:val="XSchedNo3"/>
    <w:basedOn w:val="TSchedNo3"/>
    <w:qFormat/>
    <w:rsid w:val="0092371A"/>
    <w:pPr>
      <w:numPr>
        <w:numId w:val="9"/>
      </w:numPr>
    </w:pPr>
  </w:style>
  <w:style w:type="paragraph" w:customStyle="1" w:styleId="XSchedNo4">
    <w:name w:val="XSchedNo4"/>
    <w:basedOn w:val="TSchedNo4"/>
    <w:qFormat/>
    <w:rsid w:val="0092371A"/>
    <w:pPr>
      <w:numPr>
        <w:numId w:val="9"/>
      </w:numPr>
    </w:pPr>
  </w:style>
  <w:style w:type="paragraph" w:customStyle="1" w:styleId="XSchedNo5">
    <w:name w:val="XSchedNo5"/>
    <w:basedOn w:val="TSchedNo5"/>
    <w:qFormat/>
    <w:rsid w:val="0092371A"/>
    <w:pPr>
      <w:numPr>
        <w:numId w:val="9"/>
      </w:numPr>
    </w:pPr>
  </w:style>
  <w:style w:type="paragraph" w:customStyle="1" w:styleId="YSchedNo1">
    <w:name w:val="YSchedNo1"/>
    <w:basedOn w:val="TSchedNo1"/>
    <w:qFormat/>
    <w:rsid w:val="0092371A"/>
    <w:pPr>
      <w:numPr>
        <w:numId w:val="10"/>
      </w:numPr>
    </w:pPr>
  </w:style>
  <w:style w:type="paragraph" w:customStyle="1" w:styleId="YSchedNo2">
    <w:name w:val="YSchedNo2"/>
    <w:basedOn w:val="TSchedNo2"/>
    <w:qFormat/>
    <w:rsid w:val="0092371A"/>
    <w:pPr>
      <w:numPr>
        <w:numId w:val="10"/>
      </w:numPr>
    </w:pPr>
  </w:style>
  <w:style w:type="paragraph" w:customStyle="1" w:styleId="YSchedNo3">
    <w:name w:val="YSchedNo3"/>
    <w:basedOn w:val="TSchedNo3"/>
    <w:qFormat/>
    <w:rsid w:val="0092371A"/>
    <w:pPr>
      <w:numPr>
        <w:numId w:val="10"/>
      </w:numPr>
    </w:pPr>
  </w:style>
  <w:style w:type="paragraph" w:customStyle="1" w:styleId="YSchedNo4">
    <w:name w:val="YSchedNo4"/>
    <w:basedOn w:val="TSchedNo4"/>
    <w:qFormat/>
    <w:rsid w:val="0092371A"/>
    <w:pPr>
      <w:numPr>
        <w:numId w:val="10"/>
      </w:numPr>
    </w:pPr>
  </w:style>
  <w:style w:type="paragraph" w:customStyle="1" w:styleId="YSchedNo5">
    <w:name w:val="YSchedNo5"/>
    <w:basedOn w:val="TSchedNo5"/>
    <w:qFormat/>
    <w:rsid w:val="004D3384"/>
    <w:pPr>
      <w:numPr>
        <w:numId w:val="10"/>
      </w:numPr>
      <w:tabs>
        <w:tab w:val="clear" w:pos="4162"/>
        <w:tab w:val="num" w:pos="360"/>
      </w:tabs>
      <w:ind w:left="0" w:firstLine="2694"/>
    </w:pPr>
  </w:style>
  <w:style w:type="paragraph" w:customStyle="1" w:styleId="ZSchedNo1">
    <w:name w:val="ZSchedNo1"/>
    <w:basedOn w:val="TSchedNo1"/>
    <w:qFormat/>
    <w:rsid w:val="00B83485"/>
    <w:pPr>
      <w:numPr>
        <w:numId w:val="11"/>
      </w:numPr>
    </w:pPr>
  </w:style>
  <w:style w:type="paragraph" w:customStyle="1" w:styleId="ZSchedNo2">
    <w:name w:val="ZSchedNo2"/>
    <w:basedOn w:val="TSchedNo2"/>
    <w:qFormat/>
    <w:rsid w:val="00B83485"/>
    <w:pPr>
      <w:numPr>
        <w:numId w:val="11"/>
      </w:numPr>
    </w:pPr>
  </w:style>
  <w:style w:type="paragraph" w:customStyle="1" w:styleId="ZSchedNo3">
    <w:name w:val="ZSchedNo3"/>
    <w:basedOn w:val="ZSchedNo2"/>
    <w:qFormat/>
    <w:rsid w:val="00B83485"/>
    <w:pPr>
      <w:numPr>
        <w:ilvl w:val="2"/>
      </w:numPr>
    </w:pPr>
  </w:style>
  <w:style w:type="paragraph" w:customStyle="1" w:styleId="ZSchedNo4">
    <w:name w:val="ZSchedNo4"/>
    <w:basedOn w:val="TSchedNo4"/>
    <w:qFormat/>
    <w:rsid w:val="00B83485"/>
    <w:pPr>
      <w:numPr>
        <w:numId w:val="11"/>
      </w:numPr>
    </w:pPr>
  </w:style>
  <w:style w:type="paragraph" w:customStyle="1" w:styleId="ZSchedNo5">
    <w:name w:val="ZSchedNo5"/>
    <w:basedOn w:val="TSchedNo5"/>
    <w:qFormat/>
    <w:rsid w:val="00B83485"/>
    <w:pPr>
      <w:numPr>
        <w:numId w:val="11"/>
      </w:numPr>
    </w:pPr>
  </w:style>
  <w:style w:type="paragraph" w:customStyle="1" w:styleId="WSchedNo3">
    <w:name w:val="WSchedNo3"/>
    <w:basedOn w:val="VSchedNo3"/>
    <w:qFormat/>
    <w:rsid w:val="00B0705B"/>
    <w:pPr>
      <w:numPr>
        <w:numId w:val="8"/>
      </w:numPr>
    </w:pPr>
  </w:style>
  <w:style w:type="paragraph" w:customStyle="1" w:styleId="WSchedNo5">
    <w:name w:val="WSchedNo5"/>
    <w:basedOn w:val="VSchedNo5"/>
    <w:qFormat/>
    <w:rsid w:val="005441B6"/>
    <w:pPr>
      <w:numPr>
        <w:numId w:val="8"/>
      </w:numPr>
      <w:ind w:firstLine="894"/>
    </w:pPr>
  </w:style>
  <w:style w:type="paragraph" w:customStyle="1" w:styleId="WSchedNo4">
    <w:name w:val="WSchedNo4"/>
    <w:basedOn w:val="VSchedNo4"/>
    <w:qFormat/>
    <w:rsid w:val="005441B6"/>
    <w:pPr>
      <w:numPr>
        <w:numId w:val="8"/>
      </w:numPr>
      <w:ind w:firstLine="261"/>
    </w:pPr>
  </w:style>
  <w:style w:type="paragraph" w:styleId="ListParagraph">
    <w:name w:val="List Paragraph"/>
    <w:basedOn w:val="Normal"/>
    <w:uiPriority w:val="34"/>
    <w:qFormat/>
    <w:rsid w:val="00A83715"/>
    <w:pPr>
      <w:ind w:left="720"/>
      <w:contextualSpacing/>
    </w:pPr>
  </w:style>
  <w:style w:type="character" w:styleId="UnresolvedMention">
    <w:name w:val="Unresolved Mention"/>
    <w:basedOn w:val="DefaultParagraphFont"/>
    <w:uiPriority w:val="99"/>
    <w:semiHidden/>
    <w:unhideWhenUsed/>
    <w:rsid w:val="00A83715"/>
    <w:rPr>
      <w:color w:val="605E5C"/>
      <w:shd w:val="clear" w:color="auto" w:fill="E1DFDD"/>
    </w:rPr>
  </w:style>
  <w:style w:type="table" w:styleId="TableGrid">
    <w:name w:val="Table Grid"/>
    <w:basedOn w:val="TableNormal"/>
    <w:rsid w:val="00D6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0AC5"/>
    <w:rPr>
      <w:rFonts w:ascii="Arial" w:hAnsi="Arial"/>
      <w:sz w:val="16"/>
      <w:lang w:eastAsia="en-US"/>
    </w:rPr>
  </w:style>
  <w:style w:type="character" w:customStyle="1" w:styleId="HeaderChar">
    <w:name w:val="Header Char"/>
    <w:basedOn w:val="DefaultParagraphFont"/>
    <w:link w:val="Header"/>
    <w:uiPriority w:val="99"/>
    <w:rsid w:val="006A0AC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2240">
      <w:bodyDiv w:val="1"/>
      <w:marLeft w:val="0"/>
      <w:marRight w:val="0"/>
      <w:marTop w:val="0"/>
      <w:marBottom w:val="0"/>
      <w:divBdr>
        <w:top w:val="none" w:sz="0" w:space="0" w:color="auto"/>
        <w:left w:val="none" w:sz="0" w:space="0" w:color="auto"/>
        <w:bottom w:val="none" w:sz="0" w:space="0" w:color="auto"/>
        <w:right w:val="none" w:sz="0" w:space="0" w:color="auto"/>
      </w:divBdr>
      <w:divsChild>
        <w:div w:id="1887452070">
          <w:marLeft w:val="346"/>
          <w:marRight w:val="0"/>
          <w:marTop w:val="320"/>
          <w:marBottom w:val="0"/>
          <w:divBdr>
            <w:top w:val="none" w:sz="0" w:space="0" w:color="auto"/>
            <w:left w:val="none" w:sz="0" w:space="0" w:color="auto"/>
            <w:bottom w:val="none" w:sz="0" w:space="0" w:color="auto"/>
            <w:right w:val="none" w:sz="0" w:space="0" w:color="auto"/>
          </w:divBdr>
        </w:div>
        <w:div w:id="1733308678">
          <w:marLeft w:val="677"/>
          <w:marRight w:val="0"/>
          <w:marTop w:val="200"/>
          <w:marBottom w:val="0"/>
          <w:divBdr>
            <w:top w:val="none" w:sz="0" w:space="0" w:color="auto"/>
            <w:left w:val="none" w:sz="0" w:space="0" w:color="auto"/>
            <w:bottom w:val="none" w:sz="0" w:space="0" w:color="auto"/>
            <w:right w:val="none" w:sz="0" w:space="0" w:color="auto"/>
          </w:divBdr>
        </w:div>
        <w:div w:id="1222987197">
          <w:marLeft w:val="677"/>
          <w:marRight w:val="0"/>
          <w:marTop w:val="200"/>
          <w:marBottom w:val="0"/>
          <w:divBdr>
            <w:top w:val="none" w:sz="0" w:space="0" w:color="auto"/>
            <w:left w:val="none" w:sz="0" w:space="0" w:color="auto"/>
            <w:bottom w:val="none" w:sz="0" w:space="0" w:color="auto"/>
            <w:right w:val="none" w:sz="0" w:space="0" w:color="auto"/>
          </w:divBdr>
        </w:div>
        <w:div w:id="1897037186">
          <w:marLeft w:val="677"/>
          <w:marRight w:val="0"/>
          <w:marTop w:val="200"/>
          <w:marBottom w:val="0"/>
          <w:divBdr>
            <w:top w:val="none" w:sz="0" w:space="0" w:color="auto"/>
            <w:left w:val="none" w:sz="0" w:space="0" w:color="auto"/>
            <w:bottom w:val="none" w:sz="0" w:space="0" w:color="auto"/>
            <w:right w:val="none" w:sz="0" w:space="0" w:color="auto"/>
          </w:divBdr>
        </w:div>
      </w:divsChild>
    </w:div>
    <w:div w:id="49379871">
      <w:bodyDiv w:val="1"/>
      <w:marLeft w:val="0"/>
      <w:marRight w:val="0"/>
      <w:marTop w:val="0"/>
      <w:marBottom w:val="0"/>
      <w:divBdr>
        <w:top w:val="none" w:sz="0" w:space="0" w:color="auto"/>
        <w:left w:val="none" w:sz="0" w:space="0" w:color="auto"/>
        <w:bottom w:val="none" w:sz="0" w:space="0" w:color="auto"/>
        <w:right w:val="none" w:sz="0" w:space="0" w:color="auto"/>
      </w:divBdr>
    </w:div>
    <w:div w:id="85659011">
      <w:bodyDiv w:val="1"/>
      <w:marLeft w:val="0"/>
      <w:marRight w:val="0"/>
      <w:marTop w:val="0"/>
      <w:marBottom w:val="0"/>
      <w:divBdr>
        <w:top w:val="none" w:sz="0" w:space="0" w:color="auto"/>
        <w:left w:val="none" w:sz="0" w:space="0" w:color="auto"/>
        <w:bottom w:val="none" w:sz="0" w:space="0" w:color="auto"/>
        <w:right w:val="none" w:sz="0" w:space="0" w:color="auto"/>
      </w:divBdr>
    </w:div>
    <w:div w:id="172962574">
      <w:bodyDiv w:val="1"/>
      <w:marLeft w:val="0"/>
      <w:marRight w:val="0"/>
      <w:marTop w:val="0"/>
      <w:marBottom w:val="0"/>
      <w:divBdr>
        <w:top w:val="none" w:sz="0" w:space="0" w:color="auto"/>
        <w:left w:val="none" w:sz="0" w:space="0" w:color="auto"/>
        <w:bottom w:val="none" w:sz="0" w:space="0" w:color="auto"/>
        <w:right w:val="none" w:sz="0" w:space="0" w:color="auto"/>
      </w:divBdr>
    </w:div>
    <w:div w:id="1534881345">
      <w:bodyDiv w:val="1"/>
      <w:marLeft w:val="0"/>
      <w:marRight w:val="0"/>
      <w:marTop w:val="0"/>
      <w:marBottom w:val="0"/>
      <w:divBdr>
        <w:top w:val="none" w:sz="0" w:space="0" w:color="auto"/>
        <w:left w:val="none" w:sz="0" w:space="0" w:color="auto"/>
        <w:bottom w:val="none" w:sz="0" w:space="0" w:color="auto"/>
        <w:right w:val="none" w:sz="0" w:space="0" w:color="auto"/>
      </w:divBdr>
      <w:divsChild>
        <w:div w:id="795760647">
          <w:marLeft w:val="346"/>
          <w:marRight w:val="0"/>
          <w:marTop w:val="320"/>
          <w:marBottom w:val="0"/>
          <w:divBdr>
            <w:top w:val="none" w:sz="0" w:space="0" w:color="auto"/>
            <w:left w:val="none" w:sz="0" w:space="0" w:color="auto"/>
            <w:bottom w:val="none" w:sz="0" w:space="0" w:color="auto"/>
            <w:right w:val="none" w:sz="0" w:space="0" w:color="auto"/>
          </w:divBdr>
        </w:div>
        <w:div w:id="1478692349">
          <w:marLeft w:val="677"/>
          <w:marRight w:val="0"/>
          <w:marTop w:val="200"/>
          <w:marBottom w:val="0"/>
          <w:divBdr>
            <w:top w:val="none" w:sz="0" w:space="0" w:color="auto"/>
            <w:left w:val="none" w:sz="0" w:space="0" w:color="auto"/>
            <w:bottom w:val="none" w:sz="0" w:space="0" w:color="auto"/>
            <w:right w:val="none" w:sz="0" w:space="0" w:color="auto"/>
          </w:divBdr>
        </w:div>
        <w:div w:id="853963309">
          <w:marLeft w:val="677"/>
          <w:marRight w:val="0"/>
          <w:marTop w:val="200"/>
          <w:marBottom w:val="0"/>
          <w:divBdr>
            <w:top w:val="none" w:sz="0" w:space="0" w:color="auto"/>
            <w:left w:val="none" w:sz="0" w:space="0" w:color="auto"/>
            <w:bottom w:val="none" w:sz="0" w:space="0" w:color="auto"/>
            <w:right w:val="none" w:sz="0" w:space="0" w:color="auto"/>
          </w:divBdr>
        </w:div>
      </w:divsChild>
    </w:div>
    <w:div w:id="1795632984">
      <w:bodyDiv w:val="1"/>
      <w:marLeft w:val="0"/>
      <w:marRight w:val="0"/>
      <w:marTop w:val="0"/>
      <w:marBottom w:val="0"/>
      <w:divBdr>
        <w:top w:val="none" w:sz="0" w:space="0" w:color="auto"/>
        <w:left w:val="none" w:sz="0" w:space="0" w:color="auto"/>
        <w:bottom w:val="none" w:sz="0" w:space="0" w:color="auto"/>
        <w:right w:val="none" w:sz="0" w:space="0" w:color="auto"/>
      </w:divBdr>
      <w:divsChild>
        <w:div w:id="1660882799">
          <w:marLeft w:val="360"/>
          <w:marRight w:val="0"/>
          <w:marTop w:val="200"/>
          <w:marBottom w:val="0"/>
          <w:divBdr>
            <w:top w:val="none" w:sz="0" w:space="0" w:color="auto"/>
            <w:left w:val="none" w:sz="0" w:space="0" w:color="auto"/>
            <w:bottom w:val="none" w:sz="0" w:space="0" w:color="auto"/>
            <w:right w:val="none" w:sz="0" w:space="0" w:color="auto"/>
          </w:divBdr>
        </w:div>
        <w:div w:id="1439328753">
          <w:marLeft w:val="360"/>
          <w:marRight w:val="0"/>
          <w:marTop w:val="200"/>
          <w:marBottom w:val="0"/>
          <w:divBdr>
            <w:top w:val="none" w:sz="0" w:space="0" w:color="auto"/>
            <w:left w:val="none" w:sz="0" w:space="0" w:color="auto"/>
            <w:bottom w:val="none" w:sz="0" w:space="0" w:color="auto"/>
            <w:right w:val="none" w:sz="0" w:space="0" w:color="auto"/>
          </w:divBdr>
        </w:div>
      </w:divsChild>
    </w:div>
    <w:div w:id="2064212167">
      <w:bodyDiv w:val="1"/>
      <w:marLeft w:val="0"/>
      <w:marRight w:val="0"/>
      <w:marTop w:val="0"/>
      <w:marBottom w:val="0"/>
      <w:divBdr>
        <w:top w:val="none" w:sz="0" w:space="0" w:color="auto"/>
        <w:left w:val="none" w:sz="0" w:space="0" w:color="auto"/>
        <w:bottom w:val="none" w:sz="0" w:space="0" w:color="auto"/>
        <w:right w:val="none" w:sz="0" w:space="0" w:color="auto"/>
      </w:divBdr>
      <w:divsChild>
        <w:div w:id="967320035">
          <w:marLeft w:val="346"/>
          <w:marRight w:val="0"/>
          <w:marTop w:val="320"/>
          <w:marBottom w:val="0"/>
          <w:divBdr>
            <w:top w:val="none" w:sz="0" w:space="0" w:color="auto"/>
            <w:left w:val="none" w:sz="0" w:space="0" w:color="auto"/>
            <w:bottom w:val="none" w:sz="0" w:space="0" w:color="auto"/>
            <w:right w:val="none" w:sz="0" w:space="0" w:color="auto"/>
          </w:divBdr>
        </w:div>
        <w:div w:id="1574897228">
          <w:marLeft w:val="346"/>
          <w:marRight w:val="0"/>
          <w:marTop w:val="320"/>
          <w:marBottom w:val="0"/>
          <w:divBdr>
            <w:top w:val="none" w:sz="0" w:space="0" w:color="auto"/>
            <w:left w:val="none" w:sz="0" w:space="0" w:color="auto"/>
            <w:bottom w:val="none" w:sz="0" w:space="0" w:color="auto"/>
            <w:right w:val="none" w:sz="0" w:space="0" w:color="auto"/>
          </w:divBdr>
        </w:div>
        <w:div w:id="607127564">
          <w:marLeft w:val="346"/>
          <w:marRight w:val="0"/>
          <w:marTop w:val="320"/>
          <w:marBottom w:val="0"/>
          <w:divBdr>
            <w:top w:val="none" w:sz="0" w:space="0" w:color="auto"/>
            <w:left w:val="none" w:sz="0" w:space="0" w:color="auto"/>
            <w:bottom w:val="none" w:sz="0" w:space="0" w:color="auto"/>
            <w:right w:val="none" w:sz="0" w:space="0" w:color="auto"/>
          </w:divBdr>
        </w:div>
        <w:div w:id="1383792676">
          <w:marLeft w:val="346"/>
          <w:marRight w:val="0"/>
          <w:marTop w:val="3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sbank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ectorbanks.com" TargetMode="External"/><Relationship Id="rId12" Type="http://schemas.openxmlformats.org/officeDocument/2006/relationships/hyperlink" Target="https://www.fca.org.uk/publication/guidance-consultation/coronavirus-safeguarding-customers-funds-annex-1-safeguarding-bank-custodian-acknowledgement-lett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a.org.uk/publications/guidance-consultations/coronavirus-safeguarding-customers-funds-proposed-guidance-payment-fi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sr.org.uk/sites/default/files/media/PDF/PSR-PSD2-Approach-and-PPG-September-2017-.pdf" TargetMode="External"/><Relationship Id="rId4" Type="http://schemas.openxmlformats.org/officeDocument/2006/relationships/webSettings" Target="webSettings.xml"/><Relationship Id="rId9" Type="http://schemas.openxmlformats.org/officeDocument/2006/relationships/hyperlink" Target="http://www.wolfsberg-principles.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gluckstein\appdata\local\microsoft\office\workgroup\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Template>
  <TotalTime>111</TotalTime>
  <Pages>4</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Customer Referral Sheet Guidelines for use</vt:lpstr>
    </vt:vector>
  </TitlesOfParts>
  <Company>Mundays LLP</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Customer Referral Sheet Guidelines for use</dc:title>
  <dc:subject/>
  <dc:creator>Mundays LLP</dc:creator>
  <cp:keywords/>
  <dc:description/>
  <cp:lastModifiedBy>Robert Lyddon</cp:lastModifiedBy>
  <cp:revision>25</cp:revision>
  <cp:lastPrinted>2015-03-24T12:06:00Z</cp:lastPrinted>
  <dcterms:created xsi:type="dcterms:W3CDTF">2020-02-03T08:53:00Z</dcterms:created>
  <dcterms:modified xsi:type="dcterms:W3CDTF">2020-07-01T14:23:00Z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2</vt:i4>
  </property>
  <property fmtid="{D5CDD505-2E9C-101B-9397-08002B2CF9AE}" pid="3" name="OPVerTxt">
    <vt:lpwstr>DI amends 24.03.15</vt:lpwstr>
  </property>
</Properties>
</file>